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78" w:rsidRPr="000113C4" w:rsidRDefault="00260778" w:rsidP="00260778">
      <w:pPr>
        <w:rPr>
          <w:rFonts w:ascii="標楷體" w:eastAsia="標楷體" w:hAnsi="標楷體"/>
          <w:b/>
          <w:sz w:val="36"/>
          <w:szCs w:val="22"/>
        </w:rPr>
      </w:pPr>
      <w:r w:rsidRPr="000113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5D9E7" wp14:editId="34C51E3A">
                <wp:simplePos x="0" y="0"/>
                <wp:positionH relativeFrom="column">
                  <wp:posOffset>8253730</wp:posOffset>
                </wp:positionH>
                <wp:positionV relativeFrom="paragraph">
                  <wp:posOffset>-2540</wp:posOffset>
                </wp:positionV>
                <wp:extent cx="1085850" cy="360045"/>
                <wp:effectExtent l="14605" t="16510" r="13970" b="1397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222" w:rsidRPr="009E68EA" w:rsidRDefault="00F43222" w:rsidP="00260778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9E68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附表</w:t>
                            </w:r>
                            <w:r w:rsidRPr="009E68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lang w:val="en-GB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5D9E7" id="矩形 3" o:spid="_x0000_s1026" style="position:absolute;margin-left:649.9pt;margin-top:-.2pt;width:85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" strokeweight="2pt">
                <v:textbox>
                  <w:txbxContent>
                    <w:p w:rsidR="00F43222" w:rsidRPr="009E68EA" w:rsidRDefault="00F43222" w:rsidP="00260778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9E68EA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附表</w:t>
                      </w:r>
                      <w:r w:rsidRPr="009E68EA">
                        <w:rPr>
                          <w:rFonts w:ascii="標楷體" w:eastAsia="標楷體" w:hAnsi="標楷體" w:hint="eastAsia"/>
                          <w:b/>
                          <w:sz w:val="28"/>
                          <w:lang w:val="en-GB"/>
                        </w:rPr>
                        <w:t>三</w:t>
                      </w:r>
                    </w:p>
                  </w:txbxContent>
                </v:textbox>
              </v:rect>
            </w:pict>
          </mc:Fallback>
        </mc:AlternateContent>
      </w:r>
      <w:r w:rsidRPr="000113C4">
        <w:rPr>
          <w:rFonts w:ascii="標楷體" w:eastAsia="標楷體" w:hAnsi="標楷體" w:hint="eastAsia"/>
          <w:b/>
          <w:sz w:val="36"/>
          <w:szCs w:val="22"/>
        </w:rPr>
        <w:t>高雄醫學大學藥學院教師升等教學考核表</w:t>
      </w:r>
    </w:p>
    <w:p w:rsidR="00260778" w:rsidRPr="000113C4" w:rsidRDefault="00260778" w:rsidP="00260778">
      <w:pPr>
        <w:spacing w:line="0" w:lineRule="atLeast"/>
        <w:rPr>
          <w:rFonts w:eastAsia="標楷體"/>
          <w:sz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1276"/>
        <w:gridCol w:w="3827"/>
        <w:gridCol w:w="1843"/>
        <w:gridCol w:w="4281"/>
      </w:tblGrid>
      <w:tr w:rsidR="00260778" w:rsidRPr="000113C4" w:rsidTr="0026077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送審單位：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申請人：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擬升(聘)等級：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/>
                <w:szCs w:val="22"/>
              </w:rPr>
              <w:sym w:font="Wingdings 2" w:char="F0A3"/>
            </w:r>
            <w:r w:rsidRPr="000113C4">
              <w:rPr>
                <w:rFonts w:ascii="標楷體" w:eastAsia="標楷體" w:hAnsi="標楷體" w:hint="eastAsia"/>
                <w:szCs w:val="22"/>
              </w:rPr>
              <w:t xml:space="preserve">講師       </w:t>
            </w:r>
            <w:r w:rsidRPr="000113C4">
              <w:rPr>
                <w:rFonts w:ascii="標楷體" w:eastAsia="標楷體" w:hAnsi="標楷體"/>
                <w:szCs w:val="22"/>
              </w:rPr>
              <w:sym w:font="Wingdings 2" w:char="F0A3"/>
            </w:r>
            <w:r w:rsidRPr="000113C4">
              <w:rPr>
                <w:rFonts w:ascii="標楷體" w:eastAsia="標楷體" w:hAnsi="標楷體" w:hint="eastAsia"/>
                <w:szCs w:val="22"/>
              </w:rPr>
              <w:t>助理教授</w:t>
            </w:r>
          </w:p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/>
                <w:szCs w:val="22"/>
              </w:rPr>
              <w:sym w:font="Wingdings 2" w:char="F0A3"/>
            </w:r>
            <w:r w:rsidRPr="000113C4">
              <w:rPr>
                <w:rFonts w:ascii="標楷體" w:eastAsia="標楷體" w:hAnsi="標楷體" w:hint="eastAsia"/>
                <w:szCs w:val="22"/>
              </w:rPr>
              <w:t xml:space="preserve">副教授     </w:t>
            </w:r>
            <w:r w:rsidRPr="000113C4">
              <w:rPr>
                <w:rFonts w:ascii="標楷體" w:eastAsia="標楷體" w:hAnsi="標楷體"/>
                <w:szCs w:val="22"/>
              </w:rPr>
              <w:sym w:font="Wingdings 2" w:char="F0A3"/>
            </w:r>
            <w:r w:rsidRPr="000113C4">
              <w:rPr>
                <w:rFonts w:ascii="標楷體" w:eastAsia="標楷體" w:hAnsi="標楷體" w:hint="eastAsia"/>
                <w:szCs w:val="22"/>
              </w:rPr>
              <w:t>教授</w:t>
            </w:r>
          </w:p>
        </w:tc>
      </w:tr>
    </w:tbl>
    <w:p w:rsidR="00260778" w:rsidRPr="000113C4" w:rsidRDefault="00260778" w:rsidP="00260778">
      <w:pPr>
        <w:spacing w:line="240" w:lineRule="exact"/>
        <w:rPr>
          <w:rFonts w:ascii="標楷體" w:eastAsia="標楷體" w:hAnsi="標楷體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152"/>
        <w:gridCol w:w="3770"/>
        <w:gridCol w:w="709"/>
        <w:gridCol w:w="724"/>
        <w:gridCol w:w="896"/>
        <w:gridCol w:w="897"/>
        <w:gridCol w:w="1169"/>
        <w:gridCol w:w="992"/>
        <w:gridCol w:w="793"/>
        <w:gridCol w:w="3227"/>
      </w:tblGrid>
      <w:tr w:rsidR="009E68EA" w:rsidRPr="000113C4" w:rsidTr="003B02E7">
        <w:trPr>
          <w:trHeight w:val="338"/>
          <w:tblHeader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0113C4">
              <w:rPr>
                <w:rFonts w:ascii="標楷體" w:eastAsia="標楷體" w:hAnsi="標楷體" w:hint="eastAsia"/>
                <w:b/>
                <w:szCs w:val="22"/>
              </w:rPr>
              <w:t>審查項目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0113C4">
              <w:rPr>
                <w:rFonts w:ascii="標楷體" w:eastAsia="標楷體" w:hAnsi="標楷體" w:hint="eastAsia"/>
                <w:b/>
                <w:szCs w:val="22"/>
              </w:rPr>
              <w:t>評核</w:t>
            </w:r>
          </w:p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0113C4">
              <w:rPr>
                <w:rFonts w:ascii="標楷體" w:eastAsia="標楷體" w:hAnsi="標楷體" w:hint="eastAsia"/>
                <w:b/>
                <w:szCs w:val="22"/>
              </w:rPr>
              <w:t>指標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0113C4">
              <w:rPr>
                <w:rFonts w:ascii="標楷體" w:eastAsia="標楷體" w:hAnsi="標楷體" w:hint="eastAsia"/>
                <w:b/>
                <w:szCs w:val="22"/>
              </w:rPr>
              <w:t>評分內容及標準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積分</w:t>
            </w:r>
          </w:p>
          <w:p w:rsidR="00260778" w:rsidRPr="000113C4" w:rsidRDefault="00260778" w:rsidP="00260778">
            <w:pPr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/>
                <w:b/>
                <w:sz w:val="20"/>
                <w:szCs w:val="22"/>
              </w:rPr>
              <w:t>(A)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spacing w:line="260" w:lineRule="exact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權重比例</w:t>
            </w:r>
          </w:p>
          <w:p w:rsidR="00260778" w:rsidRPr="000113C4" w:rsidRDefault="00260778" w:rsidP="00260778">
            <w:pPr>
              <w:spacing w:line="260" w:lineRule="exact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/>
                <w:b/>
                <w:sz w:val="20"/>
                <w:szCs w:val="22"/>
              </w:rPr>
              <w:t>(B)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考評人員</w:t>
            </w:r>
            <w:r w:rsidRPr="000113C4">
              <w:rPr>
                <w:rFonts w:eastAsia="標楷體"/>
                <w:b/>
                <w:szCs w:val="22"/>
              </w:rPr>
              <w:t>/</w:t>
            </w:r>
            <w:r w:rsidRPr="000113C4">
              <w:rPr>
                <w:rFonts w:eastAsia="標楷體" w:hAnsi="標楷體" w:hint="eastAsia"/>
                <w:b/>
                <w:szCs w:val="22"/>
              </w:rPr>
              <w:t>單位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spacing w:line="260" w:lineRule="exact"/>
              <w:jc w:val="center"/>
              <w:rPr>
                <w:rFonts w:eastAsia="標楷體" w:hAnsi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實得</w:t>
            </w:r>
          </w:p>
          <w:p w:rsidR="00260778" w:rsidRPr="000113C4" w:rsidRDefault="00260778" w:rsidP="00260778">
            <w:pPr>
              <w:spacing w:line="260" w:lineRule="exact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積分</w:t>
            </w:r>
          </w:p>
          <w:p w:rsidR="00260778" w:rsidRPr="000113C4" w:rsidRDefault="00260778" w:rsidP="00260778">
            <w:pPr>
              <w:spacing w:line="260" w:lineRule="exact"/>
              <w:jc w:val="center"/>
              <w:rPr>
                <w:rFonts w:eastAsia="標楷體"/>
                <w:b/>
                <w:sz w:val="20"/>
                <w:szCs w:val="22"/>
              </w:rPr>
            </w:pPr>
            <w:r w:rsidRPr="000113C4">
              <w:rPr>
                <w:rFonts w:eastAsia="標楷體"/>
                <w:b/>
                <w:sz w:val="20"/>
                <w:szCs w:val="22"/>
              </w:rPr>
              <w:t>(C=A*B)</w:t>
            </w:r>
          </w:p>
          <w:p w:rsidR="00260778" w:rsidRPr="000113C4" w:rsidRDefault="00260778" w:rsidP="00260778">
            <w:pPr>
              <w:spacing w:line="240" w:lineRule="exact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int="eastAsia"/>
                <w:b/>
                <w:sz w:val="20"/>
                <w:szCs w:val="22"/>
              </w:rPr>
              <w:t>【申請人統計】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初審</w:t>
            </w:r>
          </w:p>
          <w:p w:rsidR="00260778" w:rsidRPr="000113C4" w:rsidRDefault="00260778" w:rsidP="00260778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int="eastAsia"/>
                <w:b/>
                <w:sz w:val="20"/>
                <w:szCs w:val="22"/>
              </w:rPr>
              <w:t>【系、所、中心】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複審</w:t>
            </w:r>
          </w:p>
          <w:p w:rsidR="00260778" w:rsidRPr="000113C4" w:rsidRDefault="00260778" w:rsidP="00260778">
            <w:pPr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int="eastAsia"/>
                <w:b/>
                <w:sz w:val="20"/>
                <w:szCs w:val="22"/>
              </w:rPr>
              <w:t>【學院】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 w:hAnsi="標楷體" w:hint="eastAsia"/>
                <w:b/>
                <w:szCs w:val="22"/>
              </w:rPr>
              <w:t>審查重點</w:t>
            </w:r>
          </w:p>
        </w:tc>
      </w:tr>
      <w:tr w:rsidR="009E68EA" w:rsidRPr="000113C4" w:rsidTr="003B02E7">
        <w:trPr>
          <w:trHeight w:val="61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eastAsia="標楷體"/>
                <w:b/>
                <w:szCs w:val="22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eastAsia="標楷體"/>
                <w:b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3B02E7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/>
                <w:b/>
                <w:szCs w:val="22"/>
              </w:rPr>
              <w:t>教師同儕評鑑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/>
                <w:b/>
                <w:szCs w:val="22"/>
              </w:rPr>
              <w:t>學生</w:t>
            </w:r>
          </w:p>
          <w:p w:rsidR="00FE5E6F" w:rsidRPr="000113C4" w:rsidRDefault="00FE5E6F" w:rsidP="003B02E7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b/>
                <w:szCs w:val="22"/>
              </w:rPr>
            </w:pPr>
            <w:r w:rsidRPr="000113C4">
              <w:rPr>
                <w:rFonts w:eastAsia="標楷體"/>
                <w:b/>
                <w:szCs w:val="22"/>
              </w:rPr>
              <w:t>評鑑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eastAsia="標楷體"/>
                <w:b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eastAsia="標楷體"/>
                <w:b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eastAsia="標楷體"/>
                <w:b/>
                <w:szCs w:val="22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eastAsia="標楷體"/>
                <w:b/>
                <w:szCs w:val="22"/>
              </w:rPr>
            </w:pPr>
          </w:p>
        </w:tc>
      </w:tr>
      <w:tr w:rsidR="009E68EA" w:rsidRPr="000113C4" w:rsidTr="003B02E7">
        <w:trPr>
          <w:trHeight w:val="246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教學考核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教學能力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60" w:lineRule="exact"/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課程規劃：以核給</w:t>
            </w:r>
            <w:r w:rsidRPr="000113C4">
              <w:rPr>
                <w:rFonts w:eastAsia="標楷體"/>
                <w:sz w:val="22"/>
                <w:szCs w:val="22"/>
              </w:rPr>
              <w:t>20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60" w:lineRule="exact"/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教學內容：以核給</w:t>
            </w:r>
            <w:r w:rsidRPr="000113C4">
              <w:rPr>
                <w:rFonts w:eastAsia="標楷體"/>
                <w:sz w:val="22"/>
                <w:szCs w:val="22"/>
              </w:rPr>
              <w:t>20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60" w:lineRule="exact"/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教學方法：以核給</w:t>
            </w:r>
            <w:r w:rsidRPr="000113C4">
              <w:rPr>
                <w:rFonts w:eastAsia="標楷體"/>
                <w:sz w:val="22"/>
                <w:szCs w:val="22"/>
              </w:rPr>
              <w:t>20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60" w:lineRule="exact"/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班級經營：以核給</w:t>
            </w:r>
            <w:r w:rsidRPr="000113C4">
              <w:rPr>
                <w:rFonts w:eastAsia="標楷體"/>
                <w:sz w:val="22"/>
                <w:szCs w:val="22"/>
              </w:rPr>
              <w:t>20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60" w:lineRule="exact"/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多元評量：以核給</w:t>
            </w:r>
            <w:r w:rsidRPr="000113C4">
              <w:rPr>
                <w:rFonts w:eastAsia="標楷體"/>
                <w:sz w:val="22"/>
                <w:szCs w:val="22"/>
              </w:rPr>
              <w:t>20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26077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【</w:t>
            </w:r>
            <w:r w:rsidR="003B02E7" w:rsidRPr="000113C4">
              <w:rPr>
                <w:rFonts w:eastAsia="標楷體" w:hint="eastAsia"/>
                <w:sz w:val="22"/>
                <w:szCs w:val="22"/>
              </w:rPr>
              <w:t>依附表四</w:t>
            </w:r>
            <w:r w:rsidR="003B02E7" w:rsidRPr="000113C4">
              <w:rPr>
                <w:rFonts w:eastAsia="標楷體" w:hint="eastAsia"/>
                <w:sz w:val="22"/>
                <w:szCs w:val="22"/>
              </w:rPr>
              <w:t>-</w:t>
            </w:r>
            <w:r w:rsidR="003B02E7" w:rsidRPr="000113C4">
              <w:rPr>
                <w:rFonts w:eastAsia="標楷體" w:hint="eastAsia"/>
                <w:sz w:val="22"/>
                <w:szCs w:val="22"/>
              </w:rPr>
              <w:t>高雄醫學大學藥學院教師升等教學能力評核表</w:t>
            </w:r>
            <w:r w:rsidRPr="000113C4">
              <w:rPr>
                <w:rFonts w:eastAsia="標楷體" w:hint="eastAsia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3"/>
              </w:numPr>
              <w:spacing w:line="340" w:lineRule="exact"/>
              <w:ind w:left="312" w:hanging="312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送審人必須以一門課程為佐證，檢附完整教學計畫（含課程大綱、進度表、課程目標與學習成效標準一覽表、授課教材內容、學生完整評核紀錄等），作為教師同儕評鑑與學生評鑑之需。</w:t>
            </w:r>
          </w:p>
          <w:p w:rsidR="00260778" w:rsidRPr="000113C4" w:rsidRDefault="00260778" w:rsidP="009E0595">
            <w:pPr>
              <w:numPr>
                <w:ilvl w:val="0"/>
                <w:numId w:val="23"/>
              </w:numPr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此項指標的積分以</w:t>
            </w:r>
            <w:r w:rsidRPr="000113C4">
              <w:rPr>
                <w:rFonts w:eastAsia="標楷體"/>
                <w:sz w:val="22"/>
                <w:szCs w:val="22"/>
              </w:rPr>
              <w:t>100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分為上限。</w:t>
            </w:r>
          </w:p>
        </w:tc>
      </w:tr>
      <w:tr w:rsidR="009E68EA" w:rsidRPr="000113C4" w:rsidTr="003B0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教學評量</w:t>
            </w:r>
          </w:p>
          <w:p w:rsidR="00260778" w:rsidRPr="000113C4" w:rsidRDefault="00260778" w:rsidP="00260778">
            <w:pPr>
              <w:ind w:rightChars="-34" w:right="-82"/>
              <w:rPr>
                <w:rFonts w:eastAsia="標楷體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（以近</w:t>
            </w:r>
            <w:r w:rsidRPr="000113C4">
              <w:rPr>
                <w:rFonts w:eastAsia="標楷體"/>
                <w:sz w:val="22"/>
                <w:szCs w:val="22"/>
              </w:rPr>
              <w:t>6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學期為統計基準）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/>
                <w:b/>
                <w:kern w:val="0"/>
                <w:sz w:val="22"/>
                <w:szCs w:val="20"/>
              </w:rPr>
              <w:t>101</w:t>
            </w:r>
            <w:r w:rsidRPr="000113C4">
              <w:rPr>
                <w:rFonts w:eastAsia="標楷體" w:hint="eastAsia"/>
                <w:b/>
                <w:kern w:val="0"/>
                <w:sz w:val="22"/>
                <w:szCs w:val="20"/>
              </w:rPr>
              <w:t>學年度（含）以後：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教學評量問卷調查合乎有效問卷標準，且有效加權平均在</w:t>
            </w:r>
            <w:r w:rsidRPr="000113C4">
              <w:rPr>
                <w:rFonts w:eastAsia="標楷體"/>
                <w:sz w:val="22"/>
                <w:szCs w:val="22"/>
              </w:rPr>
              <w:t>5.40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  <w:r w:rsidRPr="000113C4">
              <w:rPr>
                <w:rFonts w:eastAsia="標楷體"/>
                <w:sz w:val="22"/>
                <w:szCs w:val="22"/>
              </w:rPr>
              <w:t>(</w:t>
            </w:r>
            <w:r w:rsidRPr="000113C4">
              <w:rPr>
                <w:rFonts w:eastAsia="標楷體" w:hint="eastAsia"/>
                <w:sz w:val="22"/>
                <w:szCs w:val="22"/>
              </w:rPr>
              <w:t>含</w:t>
            </w:r>
            <w:r w:rsidRPr="000113C4">
              <w:rPr>
                <w:rFonts w:eastAsia="標楷體"/>
                <w:sz w:val="22"/>
                <w:szCs w:val="22"/>
              </w:rPr>
              <w:t>)</w:t>
            </w:r>
            <w:r w:rsidRPr="000113C4">
              <w:rPr>
                <w:rFonts w:eastAsia="標楷體" w:hint="eastAsia"/>
                <w:sz w:val="22"/>
                <w:szCs w:val="22"/>
              </w:rPr>
              <w:t>以上者：每學期核給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20 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教學評量問卷調查合乎有效問卷標準，且有效加權平均在</w:t>
            </w:r>
            <w:r w:rsidRPr="000113C4">
              <w:rPr>
                <w:rFonts w:eastAsia="標楷體"/>
                <w:sz w:val="22"/>
                <w:szCs w:val="22"/>
              </w:rPr>
              <w:t>5.10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  <w:r w:rsidRPr="000113C4">
              <w:rPr>
                <w:rFonts w:eastAsia="標楷體"/>
                <w:sz w:val="22"/>
                <w:szCs w:val="22"/>
              </w:rPr>
              <w:t>(</w:t>
            </w:r>
            <w:r w:rsidRPr="000113C4">
              <w:rPr>
                <w:rFonts w:eastAsia="標楷體" w:hint="eastAsia"/>
                <w:sz w:val="22"/>
                <w:szCs w:val="22"/>
              </w:rPr>
              <w:t>含</w:t>
            </w:r>
            <w:r w:rsidRPr="000113C4">
              <w:rPr>
                <w:rFonts w:eastAsia="標楷體"/>
                <w:sz w:val="22"/>
                <w:szCs w:val="22"/>
              </w:rPr>
              <w:t>)</w:t>
            </w:r>
            <w:r w:rsidRPr="000113C4">
              <w:rPr>
                <w:rFonts w:eastAsia="標楷體" w:hint="eastAsia"/>
                <w:sz w:val="22"/>
                <w:szCs w:val="22"/>
              </w:rPr>
              <w:t>以上未達</w:t>
            </w:r>
            <w:r w:rsidRPr="000113C4">
              <w:rPr>
                <w:rFonts w:eastAsia="標楷體"/>
                <w:sz w:val="22"/>
                <w:szCs w:val="22"/>
              </w:rPr>
              <w:t>5.40</w:t>
            </w:r>
            <w:r w:rsidRPr="000113C4">
              <w:rPr>
                <w:rFonts w:eastAsia="標楷體" w:hint="eastAsia"/>
                <w:sz w:val="22"/>
                <w:szCs w:val="22"/>
              </w:rPr>
              <w:t>分者：每學期核給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15 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lastRenderedPageBreak/>
              <w:t>教學評量問卷調查合乎有效問卷標準，且有效加權平均在</w:t>
            </w:r>
            <w:r w:rsidRPr="000113C4">
              <w:rPr>
                <w:rFonts w:eastAsia="標楷體"/>
                <w:sz w:val="22"/>
                <w:szCs w:val="22"/>
              </w:rPr>
              <w:t>4.80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  <w:r w:rsidRPr="000113C4">
              <w:rPr>
                <w:rFonts w:eastAsia="標楷體"/>
                <w:sz w:val="22"/>
                <w:szCs w:val="22"/>
              </w:rPr>
              <w:t>(</w:t>
            </w:r>
            <w:r w:rsidRPr="000113C4">
              <w:rPr>
                <w:rFonts w:eastAsia="標楷體" w:hint="eastAsia"/>
                <w:sz w:val="22"/>
                <w:szCs w:val="22"/>
              </w:rPr>
              <w:t>含</w:t>
            </w:r>
            <w:r w:rsidRPr="000113C4">
              <w:rPr>
                <w:rFonts w:eastAsia="標楷體"/>
                <w:sz w:val="22"/>
                <w:szCs w:val="22"/>
              </w:rPr>
              <w:t>)</w:t>
            </w:r>
            <w:r w:rsidRPr="000113C4">
              <w:rPr>
                <w:rFonts w:eastAsia="標楷體" w:hint="eastAsia"/>
                <w:sz w:val="22"/>
                <w:szCs w:val="22"/>
              </w:rPr>
              <w:t>以上未達</w:t>
            </w:r>
            <w:r w:rsidRPr="000113C4">
              <w:rPr>
                <w:rFonts w:eastAsia="標楷體"/>
                <w:sz w:val="22"/>
                <w:szCs w:val="22"/>
              </w:rPr>
              <w:t>5.10</w:t>
            </w:r>
            <w:r w:rsidRPr="000113C4">
              <w:rPr>
                <w:rFonts w:eastAsia="標楷體" w:hint="eastAsia"/>
                <w:sz w:val="22"/>
                <w:szCs w:val="22"/>
              </w:rPr>
              <w:t>分者：每學期核給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教學評量問卷調查合乎有效問卷標準，且有效加權平均在</w:t>
            </w:r>
            <w:r w:rsidRPr="000113C4">
              <w:rPr>
                <w:rFonts w:eastAsia="標楷體"/>
                <w:sz w:val="22"/>
                <w:szCs w:val="22"/>
              </w:rPr>
              <w:t>4.50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  <w:r w:rsidRPr="000113C4">
              <w:rPr>
                <w:rFonts w:eastAsia="標楷體"/>
                <w:sz w:val="22"/>
                <w:szCs w:val="22"/>
              </w:rPr>
              <w:t>(</w:t>
            </w:r>
            <w:r w:rsidRPr="000113C4">
              <w:rPr>
                <w:rFonts w:eastAsia="標楷體" w:hint="eastAsia"/>
                <w:sz w:val="22"/>
                <w:szCs w:val="22"/>
              </w:rPr>
              <w:t>含</w:t>
            </w:r>
            <w:r w:rsidRPr="000113C4">
              <w:rPr>
                <w:rFonts w:eastAsia="標楷體"/>
                <w:sz w:val="22"/>
                <w:szCs w:val="22"/>
              </w:rPr>
              <w:t>)</w:t>
            </w:r>
            <w:r w:rsidRPr="000113C4">
              <w:rPr>
                <w:rFonts w:eastAsia="標楷體" w:hint="eastAsia"/>
                <w:sz w:val="22"/>
                <w:szCs w:val="22"/>
              </w:rPr>
              <w:t>以上未達</w:t>
            </w:r>
            <w:r w:rsidRPr="000113C4">
              <w:rPr>
                <w:rFonts w:eastAsia="標楷體"/>
                <w:sz w:val="22"/>
                <w:szCs w:val="22"/>
              </w:rPr>
              <w:t>4.80</w:t>
            </w:r>
            <w:r w:rsidRPr="000113C4">
              <w:rPr>
                <w:rFonts w:eastAsia="標楷體" w:hint="eastAsia"/>
                <w:sz w:val="22"/>
                <w:szCs w:val="22"/>
              </w:rPr>
              <w:t>分者：每學期核給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5 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4"/>
              </w:numPr>
              <w:spacing w:line="340" w:lineRule="exact"/>
              <w:ind w:left="312" w:hanging="312"/>
              <w:jc w:val="both"/>
              <w:rPr>
                <w:rFonts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由教務處檢附相關佐證資料作為查核。</w:t>
            </w:r>
          </w:p>
          <w:p w:rsidR="00260778" w:rsidRPr="000113C4" w:rsidRDefault="00260778" w:rsidP="009E0595">
            <w:pPr>
              <w:numPr>
                <w:ilvl w:val="0"/>
                <w:numId w:val="24"/>
              </w:numPr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此項指標的積分以</w:t>
            </w:r>
            <w:r w:rsidRPr="000113C4">
              <w:rPr>
                <w:rFonts w:eastAsia="標楷體" w:hAnsi="標楷體"/>
                <w:sz w:val="22"/>
                <w:szCs w:val="22"/>
              </w:rPr>
              <w:t>100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分為上限。</w:t>
            </w:r>
          </w:p>
        </w:tc>
      </w:tr>
      <w:tr w:rsidR="009E68EA" w:rsidRPr="000113C4" w:rsidTr="003B0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教學成長</w:t>
            </w:r>
          </w:p>
          <w:p w:rsidR="00260778" w:rsidRPr="000113C4" w:rsidRDefault="00260778" w:rsidP="0026077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（以近</w:t>
            </w:r>
            <w:r w:rsidRPr="000113C4">
              <w:rPr>
                <w:rFonts w:eastAsia="標楷體"/>
                <w:sz w:val="22"/>
                <w:szCs w:val="22"/>
              </w:rPr>
              <w:t>6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學期為統計基準）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參與教師成長系列活動達規定之基本分數</w:t>
            </w:r>
            <w:r w:rsidRPr="000113C4">
              <w:rPr>
                <w:rFonts w:eastAsia="標楷體"/>
                <w:sz w:val="22"/>
                <w:szCs w:val="22"/>
              </w:rPr>
              <w:t>3</w:t>
            </w:r>
            <w:r w:rsidRPr="000113C4">
              <w:rPr>
                <w:rFonts w:eastAsia="標楷體" w:hint="eastAsia"/>
                <w:sz w:val="22"/>
                <w:szCs w:val="22"/>
              </w:rPr>
              <w:t>倍以上者：每學期核給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13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參與教師成長系列活動達規定之基本分數</w:t>
            </w:r>
            <w:r w:rsidRPr="000113C4">
              <w:rPr>
                <w:rFonts w:eastAsia="標楷體"/>
                <w:sz w:val="22"/>
                <w:szCs w:val="22"/>
              </w:rPr>
              <w:t>2</w:t>
            </w:r>
            <w:r w:rsidRPr="000113C4">
              <w:rPr>
                <w:rFonts w:eastAsia="標楷體" w:hint="eastAsia"/>
                <w:sz w:val="22"/>
                <w:szCs w:val="22"/>
              </w:rPr>
              <w:t>倍以上者：每學期核給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6.5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參與教師成長系列活動達規定之基本分數</w:t>
            </w:r>
            <w:r w:rsidRPr="000113C4">
              <w:rPr>
                <w:rFonts w:eastAsia="標楷體"/>
                <w:sz w:val="22"/>
                <w:szCs w:val="22"/>
              </w:rPr>
              <w:t>1.5</w:t>
            </w:r>
            <w:r w:rsidRPr="000113C4">
              <w:rPr>
                <w:rFonts w:eastAsia="標楷體" w:hint="eastAsia"/>
                <w:sz w:val="22"/>
                <w:szCs w:val="22"/>
              </w:rPr>
              <w:t>倍以上者：每學期核給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3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負責規劃籌組教學型社群或參與：社群召集人每次核給</w:t>
            </w:r>
            <w:r w:rsidRPr="000113C4">
              <w:rPr>
                <w:rFonts w:eastAsia="標楷體"/>
                <w:sz w:val="22"/>
                <w:szCs w:val="22"/>
              </w:rPr>
              <w:t>25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分為上限；社群參與人每次核給</w:t>
            </w:r>
            <w:r w:rsidRPr="000113C4">
              <w:rPr>
                <w:rFonts w:eastAsia="標楷體"/>
                <w:sz w:val="22"/>
                <w:szCs w:val="22"/>
              </w:rPr>
              <w:t>15</w:t>
            </w:r>
            <w:r w:rsidRPr="000113C4">
              <w:rPr>
                <w:rFonts w:eastAsia="標楷體" w:hint="eastAsia"/>
                <w:sz w:val="22"/>
                <w:szCs w:val="22"/>
              </w:rPr>
              <w:t>分為上限</w:t>
            </w:r>
            <w:r w:rsidRPr="000113C4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參與教師成長系列活動未達規定之基本分數者：每學期扣減</w:t>
            </w:r>
            <w:r w:rsidRPr="000113C4">
              <w:rPr>
                <w:rFonts w:eastAsia="標楷體"/>
                <w:sz w:val="22"/>
                <w:szCs w:val="22"/>
              </w:rPr>
              <w:t xml:space="preserve">  6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未曾參與教師成長系列活動者：每學期扣減</w:t>
            </w:r>
            <w:r w:rsidRPr="000113C4">
              <w:rPr>
                <w:rFonts w:eastAsia="標楷體"/>
                <w:sz w:val="22"/>
                <w:szCs w:val="22"/>
              </w:rPr>
              <w:t xml:space="preserve"> 12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5"/>
              </w:numPr>
              <w:spacing w:line="340" w:lineRule="exact"/>
              <w:ind w:left="298" w:hanging="298"/>
              <w:jc w:val="both"/>
              <w:rPr>
                <w:rFonts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由教務處檢附相關佐證資料作為查核。</w:t>
            </w:r>
          </w:p>
          <w:p w:rsidR="00260778" w:rsidRPr="000113C4" w:rsidRDefault="00260778" w:rsidP="009E0595">
            <w:pPr>
              <w:numPr>
                <w:ilvl w:val="0"/>
                <w:numId w:val="25"/>
              </w:numPr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此項指標的積分以</w:t>
            </w:r>
            <w:r w:rsidRPr="000113C4">
              <w:rPr>
                <w:rFonts w:eastAsia="標楷體" w:hAnsi="標楷體"/>
                <w:sz w:val="22"/>
                <w:szCs w:val="22"/>
              </w:rPr>
              <w:t>100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分為上限。</w:t>
            </w:r>
          </w:p>
        </w:tc>
      </w:tr>
      <w:tr w:rsidR="009E68EA" w:rsidRPr="000113C4" w:rsidTr="003B0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教學特殊表現</w:t>
            </w:r>
          </w:p>
          <w:p w:rsidR="00260778" w:rsidRPr="000113C4" w:rsidRDefault="00260778" w:rsidP="0026077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（以取得前一等級教師資格後的近</w:t>
            </w:r>
            <w:r w:rsidRPr="000113C4">
              <w:rPr>
                <w:rFonts w:eastAsia="標楷體" w:hAnsi="標楷體"/>
                <w:sz w:val="22"/>
                <w:szCs w:val="22"/>
              </w:rPr>
              <w:t>5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年為統計基準）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擔任校方認定之校級相關教學計畫「各主軸計畫召集人」（註）：每學期</w:t>
            </w:r>
            <w:r w:rsidRPr="000113C4">
              <w:rPr>
                <w:rFonts w:eastAsia="標楷體"/>
                <w:sz w:val="22"/>
                <w:szCs w:val="22"/>
              </w:rPr>
              <w:t>/</w:t>
            </w:r>
            <w:r w:rsidRPr="000113C4">
              <w:rPr>
                <w:rFonts w:eastAsia="標楷體" w:hint="eastAsia"/>
                <w:sz w:val="22"/>
                <w:szCs w:val="22"/>
              </w:rPr>
              <w:t>半年核給</w:t>
            </w:r>
            <w:r w:rsidRPr="000113C4">
              <w:rPr>
                <w:rFonts w:eastAsia="標楷體"/>
                <w:sz w:val="22"/>
                <w:szCs w:val="22"/>
              </w:rPr>
              <w:t>10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擔任校方認定之校級相關教學計畫「各主軸計畫副召集人」（註）：每學期</w:t>
            </w:r>
            <w:r w:rsidRPr="000113C4">
              <w:rPr>
                <w:rFonts w:eastAsia="標楷體"/>
                <w:sz w:val="22"/>
                <w:szCs w:val="22"/>
              </w:rPr>
              <w:t>/</w:t>
            </w:r>
            <w:r w:rsidRPr="000113C4">
              <w:rPr>
                <w:rFonts w:eastAsia="標楷體" w:hint="eastAsia"/>
                <w:sz w:val="22"/>
                <w:szCs w:val="22"/>
              </w:rPr>
              <w:t>半年核給</w:t>
            </w:r>
            <w:r w:rsidRPr="000113C4">
              <w:rPr>
                <w:rFonts w:eastAsia="標楷體"/>
                <w:sz w:val="22"/>
                <w:szCs w:val="22"/>
              </w:rPr>
              <w:t>8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擔任校方認定之校級相關教學計畫「各子計畫主持人」（註）：每學期</w:t>
            </w:r>
            <w:r w:rsidRPr="000113C4">
              <w:rPr>
                <w:rFonts w:eastAsia="標楷體"/>
                <w:sz w:val="22"/>
                <w:szCs w:val="22"/>
              </w:rPr>
              <w:t>/</w:t>
            </w:r>
            <w:r w:rsidRPr="000113C4">
              <w:rPr>
                <w:rFonts w:eastAsia="標楷體" w:hint="eastAsia"/>
                <w:sz w:val="22"/>
                <w:szCs w:val="22"/>
              </w:rPr>
              <w:t>半年核給</w:t>
            </w:r>
            <w:r w:rsidRPr="000113C4">
              <w:rPr>
                <w:rFonts w:eastAsia="標楷體"/>
                <w:sz w:val="22"/>
                <w:szCs w:val="22"/>
              </w:rPr>
              <w:t>6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擔任校方認定之校級相關教學計畫「各子計畫參與人」（註）：每學期</w:t>
            </w:r>
            <w:r w:rsidRPr="000113C4">
              <w:rPr>
                <w:rFonts w:eastAsia="標楷體"/>
                <w:sz w:val="22"/>
                <w:szCs w:val="22"/>
              </w:rPr>
              <w:t>/</w:t>
            </w:r>
            <w:r w:rsidRPr="000113C4">
              <w:rPr>
                <w:rFonts w:eastAsia="標楷體" w:hint="eastAsia"/>
                <w:sz w:val="22"/>
                <w:szCs w:val="22"/>
              </w:rPr>
              <w:t>半年核給</w:t>
            </w:r>
            <w:r w:rsidRPr="000113C4">
              <w:rPr>
                <w:rFonts w:eastAsia="標楷體"/>
                <w:sz w:val="22"/>
                <w:szCs w:val="22"/>
              </w:rPr>
              <w:t>4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獲校級教學傑出教師：每次核給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50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獲校級教學優良教師：每次核給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40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獲教育部數位教材</w:t>
            </w:r>
            <w:r w:rsidRPr="000113C4">
              <w:rPr>
                <w:rFonts w:eastAsia="標楷體"/>
                <w:sz w:val="22"/>
                <w:szCs w:val="22"/>
              </w:rPr>
              <w:t>/</w:t>
            </w:r>
            <w:r w:rsidRPr="000113C4">
              <w:rPr>
                <w:rFonts w:eastAsia="標楷體" w:hint="eastAsia"/>
                <w:sz w:val="22"/>
                <w:szCs w:val="22"/>
              </w:rPr>
              <w:t>課程認證：每案核給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40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發展開放式課程，且收錄於開放式課程網站或磨課師</w:t>
            </w:r>
            <w:r w:rsidRPr="000113C4">
              <w:rPr>
                <w:rFonts w:eastAsia="標楷體"/>
                <w:sz w:val="22"/>
                <w:szCs w:val="22"/>
              </w:rPr>
              <w:t>(MOOCS)</w:t>
            </w:r>
            <w:r w:rsidRPr="000113C4">
              <w:rPr>
                <w:rFonts w:eastAsia="標楷體" w:hint="eastAsia"/>
                <w:sz w:val="22"/>
                <w:szCs w:val="22"/>
              </w:rPr>
              <w:t>網站：每門核給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35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獲本校優良教材獎：每案核給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35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 w:hAnsi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自建教學網站成效優異，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經系、所、中心、學院評審委員會評定為極優者</w:t>
            </w:r>
            <w:r w:rsidRPr="000113C4">
              <w:rPr>
                <w:rFonts w:eastAsia="標楷體" w:hint="eastAsia"/>
                <w:sz w:val="22"/>
                <w:szCs w:val="22"/>
              </w:rPr>
              <w:t>：每件核給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30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自建教學網站成效優異，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經系、所、中心、學院評審委員會評定為優等者</w:t>
            </w:r>
            <w:r w:rsidRPr="000113C4">
              <w:rPr>
                <w:rFonts w:eastAsia="標楷體" w:hint="eastAsia"/>
                <w:sz w:val="22"/>
                <w:szCs w:val="22"/>
              </w:rPr>
              <w:t>：每件核給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25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參與各學系專屬之「生</w:t>
            </w:r>
            <w:r w:rsidRPr="000113C4">
              <w:rPr>
                <w:rFonts w:eastAsia="標楷體"/>
                <w:sz w:val="22"/>
                <w:szCs w:val="22"/>
              </w:rPr>
              <w:t>/</w:t>
            </w:r>
            <w:r w:rsidRPr="000113C4">
              <w:rPr>
                <w:rFonts w:eastAsia="標楷體" w:hint="eastAsia"/>
                <w:sz w:val="22"/>
                <w:szCs w:val="22"/>
              </w:rPr>
              <w:t>職涯教材」開發：每案核給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20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參與遠距教學（主播）之課程主負責教師：</w:t>
            </w:r>
            <w:r w:rsidRPr="000113C4">
              <w:rPr>
                <w:rFonts w:eastAsia="標楷體" w:hAnsi="標楷體" w:hint="eastAsia"/>
                <w:sz w:val="22"/>
              </w:rPr>
              <w:t>每科目</w:t>
            </w:r>
            <w:r w:rsidRPr="000113C4">
              <w:rPr>
                <w:rFonts w:eastAsia="標楷體" w:hint="eastAsia"/>
                <w:sz w:val="22"/>
              </w:rPr>
              <w:t>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20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參與遠距教學（主播）之課程協同授課教師：</w:t>
            </w:r>
            <w:r w:rsidRPr="000113C4">
              <w:rPr>
                <w:rFonts w:eastAsia="標楷體" w:hAnsi="標楷體" w:hint="eastAsia"/>
                <w:sz w:val="22"/>
              </w:rPr>
              <w:t>每科目</w:t>
            </w:r>
            <w:r w:rsidRPr="000113C4">
              <w:rPr>
                <w:rFonts w:eastAsia="標楷體" w:hint="eastAsia"/>
                <w:sz w:val="22"/>
              </w:rPr>
              <w:t>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20 </w:t>
            </w:r>
            <w:r w:rsidRPr="000113C4">
              <w:rPr>
                <w:rFonts w:eastAsia="標楷體" w:hint="eastAsia"/>
                <w:sz w:val="22"/>
                <w:szCs w:val="22"/>
              </w:rPr>
              <w:t>分，並依實際授課教師時數均分</w:t>
            </w:r>
          </w:p>
          <w:p w:rsidR="00F43222" w:rsidRPr="00302156" w:rsidRDefault="00F43222" w:rsidP="00F43222">
            <w:pPr>
              <w:numPr>
                <w:ilvl w:val="0"/>
                <w:numId w:val="20"/>
              </w:numPr>
              <w:spacing w:line="280" w:lineRule="exact"/>
              <w:ind w:left="317" w:hanging="31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1A11E2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全程採全英語授課之專業科目</w:t>
            </w:r>
            <w:r w:rsidRPr="001A11E2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</w:t>
            </w:r>
            <w:r w:rsidRPr="001A11E2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非英語課程</w:t>
            </w:r>
            <w:r w:rsidRPr="001A11E2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)(</w:t>
            </w:r>
            <w:r w:rsidRPr="001A11E2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限本國籍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教師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)*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經教務處登錄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</w:rPr>
              <w:t>：</w:t>
            </w:r>
            <w:r w:rsidRPr="00302156">
              <w:rPr>
                <w:rFonts w:eastAsia="標楷體"/>
                <w:color w:val="FF0000"/>
                <w:sz w:val="22"/>
                <w:szCs w:val="22"/>
              </w:rPr>
              <w:br/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(1)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課程主負責教師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: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每科目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1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學分核給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10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分</w:t>
            </w:r>
            <w:r w:rsidRPr="00302156">
              <w:rPr>
                <w:rFonts w:eastAsia="標楷體"/>
                <w:color w:val="FF0000"/>
                <w:sz w:val="22"/>
                <w:szCs w:val="22"/>
                <w:u w:val="single"/>
              </w:rPr>
              <w:br/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(2)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授課教師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: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按實際授課教師時數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不含加權時數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)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給分</w:t>
            </w:r>
          </w:p>
          <w:p w:rsidR="00F43222" w:rsidRPr="00302156" w:rsidRDefault="00F43222" w:rsidP="00F43222">
            <w:pPr>
              <w:numPr>
                <w:ilvl w:val="0"/>
                <w:numId w:val="20"/>
              </w:numPr>
              <w:spacing w:line="280" w:lineRule="exact"/>
              <w:ind w:left="362" w:hanging="362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部分週次採全英語授課之專業科目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非英語課程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)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課程協同授課教師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限本國籍教師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)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</w:rPr>
              <w:t xml:space="preserve"> 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*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經教務處登錄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</w:rPr>
              <w:t>：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採全英語授課之週次，按實際授課教師時數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(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不含加權時數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)</w:t>
            </w:r>
            <w:r w:rsidRPr="00302156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給分</w:t>
            </w:r>
          </w:p>
          <w:p w:rsidR="00F43222" w:rsidRPr="000113C4" w:rsidRDefault="00F43222" w:rsidP="00F43222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參與服務學習之課程主負責教師：每學期核給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5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F43222" w:rsidRPr="000113C4" w:rsidRDefault="00F43222" w:rsidP="00F43222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參與服務學習之課程協同授課教師：每學期核給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4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F43222" w:rsidP="00F43222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開設學分班與非學分班課程：每門核給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6"/>
              </w:numPr>
              <w:spacing w:line="340" w:lineRule="exact"/>
              <w:ind w:left="326" w:hanging="326"/>
              <w:jc w:val="both"/>
              <w:rPr>
                <w:rFonts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得向教務處或各相關單位申請相關佐證資料作為查核，其中，自建教學網站之相關資料則由送審教師提供。</w:t>
            </w:r>
          </w:p>
          <w:p w:rsidR="00260778" w:rsidRPr="000113C4" w:rsidRDefault="00260778" w:rsidP="009E0595">
            <w:pPr>
              <w:numPr>
                <w:ilvl w:val="0"/>
                <w:numId w:val="26"/>
              </w:numPr>
              <w:spacing w:line="340" w:lineRule="exact"/>
              <w:ind w:left="317" w:hanging="317"/>
              <w:jc w:val="both"/>
              <w:rPr>
                <w:rFonts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此項指標的積分以</w:t>
            </w:r>
            <w:r w:rsidRPr="000113C4">
              <w:rPr>
                <w:rFonts w:eastAsia="標楷體" w:hAnsi="標楷體"/>
                <w:sz w:val="22"/>
                <w:szCs w:val="22"/>
              </w:rPr>
              <w:t>100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分為上限。</w:t>
            </w:r>
          </w:p>
          <w:p w:rsidR="00260778" w:rsidRPr="000113C4" w:rsidRDefault="00260778" w:rsidP="009E0595">
            <w:pPr>
              <w:numPr>
                <w:ilvl w:val="0"/>
                <w:numId w:val="26"/>
              </w:numPr>
              <w:spacing w:line="340" w:lineRule="exact"/>
              <w:ind w:left="326" w:hanging="326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（註）：校方認定之校級相關教學計畫，例如：教學卓越計畫、高東屏區域教學資源中心計畫、公民素養陶塑計畫、智慧生活創新創業育成計畫、教師多元升等制度計畫、課程分流計畫、學海築夢計畫、大學社會責任實踐計畫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(USR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計畫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等。</w:t>
            </w:r>
          </w:p>
        </w:tc>
      </w:tr>
      <w:tr w:rsidR="009E68EA" w:rsidRPr="000113C4" w:rsidTr="003B0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26077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教學行政配合度</w:t>
            </w:r>
          </w:p>
          <w:p w:rsidR="00260778" w:rsidRPr="000113C4" w:rsidRDefault="00260778" w:rsidP="0026077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（以近</w:t>
            </w:r>
            <w:r w:rsidRPr="000113C4">
              <w:rPr>
                <w:rFonts w:eastAsia="標楷體"/>
                <w:sz w:val="22"/>
                <w:szCs w:val="22"/>
              </w:rPr>
              <w:t>6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學期為統計基準）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教務處規範時程內，按時上傳課程大綱與進度表：每學期核給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教務處規範時程內，按時繳交學生成績：每學期核給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未於教務處規範時程內上傳課程大綱與進度表：每學期扣減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eastAsia="標楷體"/>
                <w:sz w:val="22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未於教務處規範時程內繳交學生成績：每學期扣減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260778" w:rsidRPr="000113C4" w:rsidRDefault="00260778" w:rsidP="009E0595">
            <w:pPr>
              <w:numPr>
                <w:ilvl w:val="0"/>
                <w:numId w:val="20"/>
              </w:numPr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int="eastAsia"/>
                <w:sz w:val="22"/>
                <w:szCs w:val="22"/>
              </w:rPr>
              <w:t>曾提出學生成績更正：每學期扣減</w:t>
            </w:r>
            <w:r w:rsidRPr="000113C4">
              <w:rPr>
                <w:rFonts w:eastAsia="標楷體"/>
                <w:sz w:val="22"/>
                <w:szCs w:val="22"/>
              </w:rPr>
              <w:t xml:space="preserve"> 10 </w:t>
            </w:r>
            <w:r w:rsidRPr="000113C4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8" w:rsidRPr="000113C4" w:rsidRDefault="00260778" w:rsidP="0026077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78" w:rsidRPr="000113C4" w:rsidRDefault="00260778" w:rsidP="00260778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78" w:rsidRPr="000113C4" w:rsidRDefault="00260778" w:rsidP="009E0595">
            <w:pPr>
              <w:numPr>
                <w:ilvl w:val="0"/>
                <w:numId w:val="22"/>
              </w:numPr>
              <w:spacing w:line="340" w:lineRule="exact"/>
              <w:ind w:left="326" w:hanging="326"/>
              <w:jc w:val="both"/>
              <w:rPr>
                <w:rFonts w:eastAsia="標楷體" w:hAnsi="標楷體"/>
                <w:sz w:val="22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由教務處檢附相關佐證資料作為查核。</w:t>
            </w:r>
          </w:p>
          <w:p w:rsidR="00260778" w:rsidRPr="000113C4" w:rsidRDefault="00260778" w:rsidP="009E0595">
            <w:pPr>
              <w:numPr>
                <w:ilvl w:val="0"/>
                <w:numId w:val="22"/>
              </w:numPr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此項指標的積分以</w:t>
            </w:r>
            <w:r w:rsidRPr="000113C4">
              <w:rPr>
                <w:rFonts w:eastAsia="標楷體" w:hAnsi="標楷體"/>
                <w:sz w:val="22"/>
                <w:szCs w:val="22"/>
              </w:rPr>
              <w:t>100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分為上限。</w:t>
            </w:r>
          </w:p>
        </w:tc>
      </w:tr>
      <w:tr w:rsidR="009E68EA" w:rsidRPr="000113C4" w:rsidTr="003B02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6F" w:rsidRPr="000113C4" w:rsidRDefault="00FE5E6F" w:rsidP="00FE5E6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學院特色</w:t>
            </w:r>
          </w:p>
          <w:p w:rsidR="00FE5E6F" w:rsidRPr="000113C4" w:rsidRDefault="00FE5E6F" w:rsidP="00FE5E6F">
            <w:pPr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 w:val="22"/>
                <w:szCs w:val="22"/>
              </w:rPr>
              <w:t>教學績效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21"/>
              <w:gridCol w:w="1023"/>
            </w:tblGrid>
            <w:tr w:rsidR="009E68EA" w:rsidRPr="000113C4" w:rsidTr="003B02E7">
              <w:trPr>
                <w:jc w:val="right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:rsidR="003B02E7" w:rsidRPr="000113C4" w:rsidRDefault="003B02E7" w:rsidP="003B02E7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 w:hint="eastAsia"/>
                      <w:sz w:val="20"/>
                      <w:szCs w:val="20"/>
                    </w:rPr>
                    <w:t>評分內容</w:t>
                  </w:r>
                  <w:r w:rsidRPr="000113C4">
                    <w:rPr>
                      <w:rFonts w:eastAsia="標楷體" w:hint="eastAsia"/>
                      <w:sz w:val="20"/>
                      <w:szCs w:val="20"/>
                      <w:lang w:eastAsia="zh-HK"/>
                    </w:rPr>
                    <w:t>及標準</w:t>
                  </w:r>
                </w:p>
              </w:tc>
              <w:tc>
                <w:tcPr>
                  <w:tcW w:w="1023" w:type="dxa"/>
                  <w:shd w:val="clear" w:color="auto" w:fill="auto"/>
                  <w:vAlign w:val="center"/>
                </w:tcPr>
                <w:p w:rsidR="003B02E7" w:rsidRPr="000113C4" w:rsidRDefault="003B02E7" w:rsidP="003B02E7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 w:hint="eastAsia"/>
                      <w:sz w:val="20"/>
                      <w:szCs w:val="20"/>
                      <w:lang w:eastAsia="zh-HK"/>
                    </w:rPr>
                    <w:t>分數</w:t>
                  </w:r>
                </w:p>
              </w:tc>
            </w:tr>
            <w:tr w:rsidR="009E68EA" w:rsidRPr="000113C4" w:rsidTr="003B02E7">
              <w:trPr>
                <w:jc w:val="right"/>
              </w:trPr>
              <w:tc>
                <w:tcPr>
                  <w:tcW w:w="2521" w:type="dxa"/>
                  <w:vAlign w:val="center"/>
                </w:tcPr>
                <w:p w:rsidR="003B02E7" w:rsidRPr="000113C4" w:rsidRDefault="003B02E7" w:rsidP="003B02E7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 w:hint="eastAsia"/>
                      <w:sz w:val="20"/>
                      <w:szCs w:val="20"/>
                    </w:rPr>
                    <w:t>參與國際及跨校交流合作</w:t>
                  </w:r>
                </w:p>
              </w:tc>
              <w:tc>
                <w:tcPr>
                  <w:tcW w:w="1023" w:type="dxa"/>
                  <w:vAlign w:val="center"/>
                </w:tcPr>
                <w:p w:rsidR="003B02E7" w:rsidRPr="000113C4" w:rsidRDefault="003B02E7" w:rsidP="003B02E7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/>
                      <w:sz w:val="20"/>
                      <w:szCs w:val="20"/>
                    </w:rPr>
                    <w:t>10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分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/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案</w:t>
                  </w:r>
                </w:p>
              </w:tc>
            </w:tr>
            <w:tr w:rsidR="009E68EA" w:rsidRPr="000113C4" w:rsidTr="003B02E7">
              <w:trPr>
                <w:jc w:val="right"/>
              </w:trPr>
              <w:tc>
                <w:tcPr>
                  <w:tcW w:w="2521" w:type="dxa"/>
                  <w:vAlign w:val="center"/>
                </w:tcPr>
                <w:p w:rsidR="003B02E7" w:rsidRPr="000113C4" w:rsidRDefault="003B02E7" w:rsidP="003B02E7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 w:hint="eastAsia"/>
                      <w:sz w:val="20"/>
                      <w:szCs w:val="20"/>
                    </w:rPr>
                    <w:t>參與學生實習及實務課程</w:t>
                  </w:r>
                </w:p>
              </w:tc>
              <w:tc>
                <w:tcPr>
                  <w:tcW w:w="1023" w:type="dxa"/>
                  <w:vAlign w:val="center"/>
                </w:tcPr>
                <w:p w:rsidR="003B02E7" w:rsidRPr="000113C4" w:rsidRDefault="003B02E7" w:rsidP="003B02E7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/>
                      <w:sz w:val="20"/>
                      <w:szCs w:val="20"/>
                    </w:rPr>
                    <w:t>8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分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/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案</w:t>
                  </w:r>
                </w:p>
              </w:tc>
            </w:tr>
            <w:tr w:rsidR="009E68EA" w:rsidRPr="000113C4" w:rsidTr="003B02E7">
              <w:trPr>
                <w:jc w:val="right"/>
              </w:trPr>
              <w:tc>
                <w:tcPr>
                  <w:tcW w:w="2521" w:type="dxa"/>
                  <w:vAlign w:val="center"/>
                </w:tcPr>
                <w:p w:rsidR="003B02E7" w:rsidRPr="000113C4" w:rsidRDefault="003B02E7" w:rsidP="003B02E7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 w:hint="eastAsia"/>
                      <w:sz w:val="20"/>
                      <w:szCs w:val="20"/>
                    </w:rPr>
                    <w:t>參與認證提升教學品質</w:t>
                  </w:r>
                </w:p>
              </w:tc>
              <w:tc>
                <w:tcPr>
                  <w:tcW w:w="1023" w:type="dxa"/>
                  <w:vAlign w:val="center"/>
                </w:tcPr>
                <w:p w:rsidR="003B02E7" w:rsidRPr="000113C4" w:rsidRDefault="003B02E7" w:rsidP="003B02E7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/>
                      <w:sz w:val="20"/>
                      <w:szCs w:val="20"/>
                    </w:rPr>
                    <w:t>8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分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/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案</w:t>
                  </w:r>
                </w:p>
              </w:tc>
            </w:tr>
            <w:tr w:rsidR="009E68EA" w:rsidRPr="000113C4" w:rsidTr="003B02E7">
              <w:trPr>
                <w:jc w:val="right"/>
              </w:trPr>
              <w:tc>
                <w:tcPr>
                  <w:tcW w:w="2521" w:type="dxa"/>
                  <w:vAlign w:val="center"/>
                </w:tcPr>
                <w:p w:rsidR="003B02E7" w:rsidRPr="000113C4" w:rsidRDefault="003B02E7" w:rsidP="003B02E7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 w:hint="eastAsia"/>
                      <w:sz w:val="20"/>
                      <w:szCs w:val="20"/>
                    </w:rPr>
                    <w:t>舉辦活動提升院系所形象</w:t>
                  </w:r>
                </w:p>
              </w:tc>
              <w:tc>
                <w:tcPr>
                  <w:tcW w:w="1023" w:type="dxa"/>
                  <w:vAlign w:val="center"/>
                </w:tcPr>
                <w:p w:rsidR="003B02E7" w:rsidRPr="000113C4" w:rsidRDefault="003B02E7" w:rsidP="003B02E7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0113C4">
                    <w:rPr>
                      <w:rFonts w:eastAsia="標楷體"/>
                      <w:sz w:val="20"/>
                      <w:szCs w:val="20"/>
                    </w:rPr>
                    <w:t>5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分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/</w:t>
                  </w:r>
                  <w:r w:rsidRPr="000113C4">
                    <w:rPr>
                      <w:rFonts w:eastAsia="標楷體"/>
                      <w:sz w:val="20"/>
                      <w:szCs w:val="20"/>
                    </w:rPr>
                    <w:t>次</w:t>
                  </w:r>
                </w:p>
              </w:tc>
            </w:tr>
          </w:tbl>
          <w:p w:rsidR="00FE5E6F" w:rsidRPr="000113C4" w:rsidRDefault="00FE5E6F" w:rsidP="00FE5E6F">
            <w:pPr>
              <w:spacing w:line="34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szCs w:val="22"/>
              </w:rPr>
              <w:t>-----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6F" w:rsidRPr="000113C4" w:rsidRDefault="00FE5E6F" w:rsidP="003B02E7">
            <w:pPr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0113C4">
              <w:rPr>
                <w:rFonts w:eastAsia="標楷體" w:hAnsi="標楷體" w:hint="eastAsia"/>
                <w:sz w:val="22"/>
                <w:szCs w:val="22"/>
              </w:rPr>
              <w:t>此項指標的積分以</w:t>
            </w:r>
            <w:r w:rsidRPr="000113C4">
              <w:rPr>
                <w:rFonts w:eastAsia="標楷體"/>
                <w:sz w:val="22"/>
                <w:szCs w:val="22"/>
              </w:rPr>
              <w:t>100</w:t>
            </w:r>
            <w:r w:rsidRPr="000113C4">
              <w:rPr>
                <w:rFonts w:eastAsia="標楷體" w:hAnsi="標楷體" w:hint="eastAsia"/>
                <w:sz w:val="22"/>
                <w:szCs w:val="22"/>
              </w:rPr>
              <w:t>分為上限。</w:t>
            </w:r>
          </w:p>
        </w:tc>
      </w:tr>
      <w:tr w:rsidR="009E68EA" w:rsidRPr="000113C4" w:rsidTr="003B02E7">
        <w:trPr>
          <w:trHeight w:val="42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6F" w:rsidRPr="000113C4" w:rsidRDefault="00FE5E6F" w:rsidP="00FE5E6F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0113C4">
              <w:rPr>
                <w:rFonts w:ascii="標楷體" w:eastAsia="標楷體" w:hAnsi="標楷體" w:hint="eastAsia"/>
                <w:b/>
                <w:sz w:val="28"/>
                <w:szCs w:val="22"/>
              </w:rPr>
              <w:t>教學考核（總積分合計）</w:t>
            </w:r>
          </w:p>
        </w:tc>
        <w:tc>
          <w:tcPr>
            <w:tcW w:w="9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6F" w:rsidRPr="000113C4" w:rsidRDefault="00FE5E6F" w:rsidP="00FE5E6F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:rsidR="00260778" w:rsidRPr="000113C4" w:rsidRDefault="00260778" w:rsidP="00260778">
      <w:pPr>
        <w:spacing w:line="240" w:lineRule="atLeast"/>
        <w:rPr>
          <w:rFonts w:ascii="標楷體" w:eastAsia="標楷體" w:hAnsi="標楷體"/>
          <w:sz w:val="22"/>
          <w:szCs w:val="22"/>
        </w:rPr>
      </w:pPr>
      <w:r w:rsidRPr="000113C4">
        <w:rPr>
          <w:rFonts w:ascii="標楷體" w:eastAsia="標楷體" w:hAnsi="標楷體" w:hint="eastAsia"/>
          <w:sz w:val="22"/>
          <w:szCs w:val="22"/>
        </w:rPr>
        <w:t>備註：</w:t>
      </w:r>
    </w:p>
    <w:p w:rsidR="00260778" w:rsidRPr="000113C4" w:rsidRDefault="00260778" w:rsidP="009E0595">
      <w:pPr>
        <w:numPr>
          <w:ilvl w:val="0"/>
          <w:numId w:val="21"/>
        </w:numPr>
        <w:spacing w:line="240" w:lineRule="atLeast"/>
        <w:ind w:left="714" w:hanging="560"/>
        <w:rPr>
          <w:rFonts w:ascii="標楷體" w:eastAsia="標楷體" w:hAnsi="標楷體"/>
          <w:sz w:val="22"/>
          <w:szCs w:val="22"/>
        </w:rPr>
      </w:pPr>
      <w:r w:rsidRPr="000113C4">
        <w:rPr>
          <w:rFonts w:ascii="標楷體" w:eastAsia="標楷體" w:hAnsi="標楷體" w:hint="eastAsia"/>
          <w:sz w:val="22"/>
          <w:szCs w:val="22"/>
        </w:rPr>
        <w:t>送審人所提供之佐證資料應力求具體、明確、詳實，必要時，各教學單位得依所屬發展特色或審查需求，要求送審人提供更完整之資料。</w:t>
      </w:r>
    </w:p>
    <w:p w:rsidR="00260778" w:rsidRPr="000113C4" w:rsidRDefault="00260778" w:rsidP="009E0595">
      <w:pPr>
        <w:numPr>
          <w:ilvl w:val="0"/>
          <w:numId w:val="21"/>
        </w:numPr>
        <w:spacing w:line="240" w:lineRule="atLeast"/>
        <w:ind w:left="709" w:hanging="567"/>
        <w:rPr>
          <w:rFonts w:ascii="標楷體" w:eastAsia="標楷體" w:hAnsi="標楷體"/>
          <w:sz w:val="22"/>
          <w:szCs w:val="22"/>
        </w:rPr>
      </w:pPr>
      <w:r w:rsidRPr="000113C4">
        <w:rPr>
          <w:rFonts w:ascii="標楷體" w:eastAsia="標楷體" w:hAnsi="標楷體" w:hint="eastAsia"/>
          <w:sz w:val="22"/>
          <w:szCs w:val="22"/>
        </w:rPr>
        <w:t>本考核表應併同升等申請表、升等著作、參考著作等資料一併送交所屬系、所、中心辦理。</w:t>
      </w:r>
    </w:p>
    <w:p w:rsidR="00260778" w:rsidRPr="000113C4" w:rsidRDefault="00260778" w:rsidP="009E0595">
      <w:pPr>
        <w:widowControl/>
        <w:numPr>
          <w:ilvl w:val="0"/>
          <w:numId w:val="21"/>
        </w:numPr>
        <w:spacing w:line="240" w:lineRule="atLeast"/>
        <w:ind w:left="709" w:rightChars="-94" w:right="-226" w:hanging="567"/>
        <w:rPr>
          <w:rFonts w:ascii="標楷體" w:eastAsia="標楷體" w:hAnsi="標楷體"/>
          <w:sz w:val="22"/>
          <w:szCs w:val="22"/>
        </w:rPr>
      </w:pPr>
      <w:r w:rsidRPr="000113C4">
        <w:rPr>
          <w:rFonts w:ascii="標楷體" w:eastAsia="標楷體" w:hAnsi="標楷體" w:hint="eastAsia"/>
          <w:sz w:val="22"/>
          <w:szCs w:val="22"/>
        </w:rPr>
        <w:t>本表由送審人依據相關之具體資料逐項自我評鑑後，由所屬系、所、中心轉送相關配合評鑑單位進行評鑑，再由所屬系、所、中心教師評審委員會審核。</w:t>
      </w:r>
      <w:bookmarkStart w:id="0" w:name="_GoBack"/>
      <w:bookmarkEnd w:id="0"/>
    </w:p>
    <w:sectPr w:rsidR="00260778" w:rsidRPr="000113C4" w:rsidSect="00F43033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23" w:rsidRDefault="00391223">
      <w:r>
        <w:separator/>
      </w:r>
    </w:p>
  </w:endnote>
  <w:endnote w:type="continuationSeparator" w:id="0">
    <w:p w:rsidR="00391223" w:rsidRDefault="0039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22" w:rsidRDefault="00F43222" w:rsidP="00610AF4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43222" w:rsidRDefault="00F4322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22" w:rsidRDefault="00F43222" w:rsidP="00610AF4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91223">
      <w:rPr>
        <w:rStyle w:val="af0"/>
        <w:noProof/>
      </w:rPr>
      <w:t>1</w:t>
    </w:r>
    <w:r>
      <w:rPr>
        <w:rStyle w:val="af0"/>
      </w:rPr>
      <w:fldChar w:fldCharType="end"/>
    </w:r>
  </w:p>
  <w:p w:rsidR="00F43222" w:rsidRDefault="00F4322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23" w:rsidRDefault="00391223">
      <w:r>
        <w:separator/>
      </w:r>
    </w:p>
  </w:footnote>
  <w:footnote w:type="continuationSeparator" w:id="0">
    <w:p w:rsidR="00391223" w:rsidRDefault="0039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22" w:rsidRPr="00454E5D" w:rsidRDefault="00F43222" w:rsidP="005940EB">
    <w:pPr>
      <w:pStyle w:val="a6"/>
      <w:ind w:left="0" w:right="75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7FC"/>
    <w:multiLevelType w:val="hybridMultilevel"/>
    <w:tmpl w:val="46AA74D6"/>
    <w:lvl w:ilvl="0" w:tplc="5000916E">
      <w:start w:val="2"/>
      <w:numFmt w:val="decimal"/>
      <w:lvlText w:val="%1.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7CB48F6E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7700ACD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A3842"/>
    <w:multiLevelType w:val="hybridMultilevel"/>
    <w:tmpl w:val="3BCEC694"/>
    <w:lvl w:ilvl="0" w:tplc="2A4CFF50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B3287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E3A10"/>
    <w:multiLevelType w:val="hybridMultilevel"/>
    <w:tmpl w:val="8228A1B0"/>
    <w:lvl w:ilvl="0" w:tplc="B4C43B0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3C46AC"/>
    <w:multiLevelType w:val="hybridMultilevel"/>
    <w:tmpl w:val="DEC83312"/>
    <w:lvl w:ilvl="0" w:tplc="7A881BC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8D3D7C"/>
    <w:multiLevelType w:val="hybridMultilevel"/>
    <w:tmpl w:val="FD7867E0"/>
    <w:lvl w:ilvl="0" w:tplc="978C783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9BB878DA">
      <w:start w:val="3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3D7324D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A27DC7"/>
    <w:multiLevelType w:val="hybridMultilevel"/>
    <w:tmpl w:val="3BCEC694"/>
    <w:lvl w:ilvl="0" w:tplc="2A4CFF50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45F0F"/>
    <w:multiLevelType w:val="hybridMultilevel"/>
    <w:tmpl w:val="01A4426A"/>
    <w:lvl w:ilvl="0" w:tplc="1800F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4D5472"/>
    <w:multiLevelType w:val="hybridMultilevel"/>
    <w:tmpl w:val="E758C56C"/>
    <w:lvl w:ilvl="0" w:tplc="284671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1C48DD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6A15A6"/>
    <w:multiLevelType w:val="hybridMultilevel"/>
    <w:tmpl w:val="4B7650F6"/>
    <w:lvl w:ilvl="0" w:tplc="452625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3218E"/>
    <w:multiLevelType w:val="hybridMultilevel"/>
    <w:tmpl w:val="897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2F1BD2"/>
    <w:multiLevelType w:val="hybridMultilevel"/>
    <w:tmpl w:val="D930C38E"/>
    <w:lvl w:ilvl="0" w:tplc="AEAA5D6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E2105A"/>
    <w:multiLevelType w:val="hybridMultilevel"/>
    <w:tmpl w:val="117ADE1A"/>
    <w:lvl w:ilvl="0" w:tplc="09BEF876">
      <w:start w:val="1"/>
      <w:numFmt w:val="taiwaneseCountingThousand"/>
      <w:lvlText w:val="（%1）"/>
      <w:lvlJc w:val="left"/>
      <w:pPr>
        <w:ind w:left="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0C4197"/>
    <w:multiLevelType w:val="hybridMultilevel"/>
    <w:tmpl w:val="117ADE1A"/>
    <w:lvl w:ilvl="0" w:tplc="09BEF876">
      <w:start w:val="1"/>
      <w:numFmt w:val="taiwaneseCountingThousand"/>
      <w:lvlText w:val="（%1）"/>
      <w:lvlJc w:val="left"/>
      <w:pPr>
        <w:ind w:left="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75A70"/>
    <w:multiLevelType w:val="hybridMultilevel"/>
    <w:tmpl w:val="E83E4632"/>
    <w:lvl w:ilvl="0" w:tplc="A306A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DA3D18"/>
    <w:multiLevelType w:val="hybridMultilevel"/>
    <w:tmpl w:val="57D4ED34"/>
    <w:lvl w:ilvl="0" w:tplc="8784346C">
      <w:start w:val="1"/>
      <w:numFmt w:val="taiwaneseCountingThousand"/>
      <w:lvlText w:val="（%1）"/>
      <w:lvlJc w:val="left"/>
      <w:pPr>
        <w:ind w:left="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8" w:hanging="480"/>
      </w:pPr>
    </w:lvl>
    <w:lvl w:ilvl="2" w:tplc="0409001B" w:tentative="1">
      <w:start w:val="1"/>
      <w:numFmt w:val="lowerRoman"/>
      <w:lvlText w:val="%3."/>
      <w:lvlJc w:val="right"/>
      <w:pPr>
        <w:ind w:left="1178" w:hanging="480"/>
      </w:pPr>
    </w:lvl>
    <w:lvl w:ilvl="3" w:tplc="0409000F" w:tentative="1">
      <w:start w:val="1"/>
      <w:numFmt w:val="decimal"/>
      <w:lvlText w:val="%4."/>
      <w:lvlJc w:val="left"/>
      <w:pPr>
        <w:ind w:left="1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8" w:hanging="480"/>
      </w:pPr>
    </w:lvl>
    <w:lvl w:ilvl="5" w:tplc="0409001B" w:tentative="1">
      <w:start w:val="1"/>
      <w:numFmt w:val="lowerRoman"/>
      <w:lvlText w:val="%6."/>
      <w:lvlJc w:val="right"/>
      <w:pPr>
        <w:ind w:left="2618" w:hanging="480"/>
      </w:pPr>
    </w:lvl>
    <w:lvl w:ilvl="6" w:tplc="0409000F" w:tentative="1">
      <w:start w:val="1"/>
      <w:numFmt w:val="decimal"/>
      <w:lvlText w:val="%7."/>
      <w:lvlJc w:val="left"/>
      <w:pPr>
        <w:ind w:left="3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8" w:hanging="480"/>
      </w:pPr>
    </w:lvl>
    <w:lvl w:ilvl="8" w:tplc="0409001B" w:tentative="1">
      <w:start w:val="1"/>
      <w:numFmt w:val="lowerRoman"/>
      <w:lvlText w:val="%9."/>
      <w:lvlJc w:val="right"/>
      <w:pPr>
        <w:ind w:left="4058" w:hanging="480"/>
      </w:pPr>
    </w:lvl>
  </w:abstractNum>
  <w:abstractNum w:abstractNumId="19" w15:restartNumberingAfterBreak="0">
    <w:nsid w:val="41BA3B90"/>
    <w:multiLevelType w:val="hybridMultilevel"/>
    <w:tmpl w:val="67BE715E"/>
    <w:lvl w:ilvl="0" w:tplc="45ECC0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156672"/>
    <w:multiLevelType w:val="hybridMultilevel"/>
    <w:tmpl w:val="CAFEE624"/>
    <w:lvl w:ilvl="0" w:tplc="6CFEEA7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12147A"/>
    <w:multiLevelType w:val="hybridMultilevel"/>
    <w:tmpl w:val="01A4426A"/>
    <w:lvl w:ilvl="0" w:tplc="1800F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AE6D50"/>
    <w:multiLevelType w:val="hybridMultilevel"/>
    <w:tmpl w:val="9F2275FE"/>
    <w:lvl w:ilvl="0" w:tplc="6024B31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5332F1"/>
    <w:multiLevelType w:val="hybridMultilevel"/>
    <w:tmpl w:val="AA0E57D4"/>
    <w:lvl w:ilvl="0" w:tplc="D88ADC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9126BE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782BD2"/>
    <w:multiLevelType w:val="hybridMultilevel"/>
    <w:tmpl w:val="FD7867E0"/>
    <w:lvl w:ilvl="0" w:tplc="978C783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9BB878DA">
      <w:start w:val="3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A3266BB"/>
    <w:multiLevelType w:val="hybridMultilevel"/>
    <w:tmpl w:val="9D8EB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885D38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D72B3F"/>
    <w:multiLevelType w:val="hybridMultilevel"/>
    <w:tmpl w:val="CA049CEE"/>
    <w:lvl w:ilvl="0" w:tplc="CB3E9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6B27F3"/>
    <w:multiLevelType w:val="hybridMultilevel"/>
    <w:tmpl w:val="89B2D4A0"/>
    <w:lvl w:ilvl="0" w:tplc="A8B80FE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677F2B"/>
    <w:multiLevelType w:val="hybridMultilevel"/>
    <w:tmpl w:val="50F06CE4"/>
    <w:lvl w:ilvl="0" w:tplc="D72064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5701BD"/>
    <w:multiLevelType w:val="hybridMultilevel"/>
    <w:tmpl w:val="391C73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CF4857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978DA"/>
    <w:multiLevelType w:val="hybridMultilevel"/>
    <w:tmpl w:val="498E1BE0"/>
    <w:lvl w:ilvl="0" w:tplc="C51A20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924011"/>
    <w:multiLevelType w:val="hybridMultilevel"/>
    <w:tmpl w:val="897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906B08"/>
    <w:multiLevelType w:val="hybridMultilevel"/>
    <w:tmpl w:val="8228A1B0"/>
    <w:lvl w:ilvl="0" w:tplc="B4C43B0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FD44D1"/>
    <w:multiLevelType w:val="hybridMultilevel"/>
    <w:tmpl w:val="CAFEE624"/>
    <w:lvl w:ilvl="0" w:tplc="6CFEEA7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7406E6"/>
    <w:multiLevelType w:val="hybridMultilevel"/>
    <w:tmpl w:val="CFCE8DFA"/>
    <w:lvl w:ilvl="0" w:tplc="9AD6A9F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B51F99"/>
    <w:multiLevelType w:val="hybridMultilevel"/>
    <w:tmpl w:val="EECCAD6A"/>
    <w:lvl w:ilvl="0" w:tplc="2676D14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0F7FF2"/>
    <w:multiLevelType w:val="hybridMultilevel"/>
    <w:tmpl w:val="8B1E82BA"/>
    <w:lvl w:ilvl="0" w:tplc="FD58BC14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EA2A37"/>
    <w:multiLevelType w:val="hybridMultilevel"/>
    <w:tmpl w:val="897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574B3F"/>
    <w:multiLevelType w:val="hybridMultilevel"/>
    <w:tmpl w:val="DE0E4A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62B124A"/>
    <w:multiLevelType w:val="hybridMultilevel"/>
    <w:tmpl w:val="9F2275FE"/>
    <w:lvl w:ilvl="0" w:tplc="6024B31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E92294"/>
    <w:multiLevelType w:val="hybridMultilevel"/>
    <w:tmpl w:val="FD7867E0"/>
    <w:lvl w:ilvl="0" w:tplc="978C783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9BB878DA">
      <w:start w:val="3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7D07535A"/>
    <w:multiLevelType w:val="hybridMultilevel"/>
    <w:tmpl w:val="498E1BE0"/>
    <w:lvl w:ilvl="0" w:tplc="C51A20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156B48"/>
    <w:multiLevelType w:val="hybridMultilevel"/>
    <w:tmpl w:val="80720F10"/>
    <w:lvl w:ilvl="0" w:tplc="5BFC2924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1C495D"/>
    <w:multiLevelType w:val="hybridMultilevel"/>
    <w:tmpl w:val="8B1E82BA"/>
    <w:lvl w:ilvl="0" w:tplc="FD58BC14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44"/>
  </w:num>
  <w:num w:numId="3">
    <w:abstractNumId w:val="14"/>
  </w:num>
  <w:num w:numId="4">
    <w:abstractNumId w:val="0"/>
  </w:num>
  <w:num w:numId="5">
    <w:abstractNumId w:val="23"/>
  </w:num>
  <w:num w:numId="6">
    <w:abstractNumId w:val="26"/>
  </w:num>
  <w:num w:numId="7">
    <w:abstractNumId w:val="27"/>
  </w:num>
  <w:num w:numId="8">
    <w:abstractNumId w:val="7"/>
  </w:num>
  <w:num w:numId="9">
    <w:abstractNumId w:val="28"/>
  </w:num>
  <w:num w:numId="10">
    <w:abstractNumId w:val="31"/>
  </w:num>
  <w:num w:numId="11">
    <w:abstractNumId w:val="18"/>
  </w:num>
  <w:num w:numId="12">
    <w:abstractNumId w:val="42"/>
  </w:num>
  <w:num w:numId="13">
    <w:abstractNumId w:val="39"/>
  </w:num>
  <w:num w:numId="14">
    <w:abstractNumId w:val="17"/>
  </w:num>
  <w:num w:numId="15">
    <w:abstractNumId w:val="36"/>
  </w:num>
  <w:num w:numId="16">
    <w:abstractNumId w:val="4"/>
  </w:num>
  <w:num w:numId="17">
    <w:abstractNumId w:val="25"/>
  </w:num>
  <w:num w:numId="18">
    <w:abstractNumId w:val="24"/>
  </w:num>
  <w:num w:numId="19">
    <w:abstractNumId w:val="3"/>
  </w:num>
  <w:num w:numId="20">
    <w:abstractNumId w:val="40"/>
  </w:num>
  <w:num w:numId="21">
    <w:abstractNumId w:val="30"/>
  </w:num>
  <w:num w:numId="22">
    <w:abstractNumId w:val="29"/>
  </w:num>
  <w:num w:numId="23">
    <w:abstractNumId w:val="5"/>
  </w:num>
  <w:num w:numId="24">
    <w:abstractNumId w:val="12"/>
  </w:num>
  <w:num w:numId="25">
    <w:abstractNumId w:val="19"/>
  </w:num>
  <w:num w:numId="26">
    <w:abstractNumId w:val="37"/>
  </w:num>
  <w:num w:numId="27">
    <w:abstractNumId w:val="9"/>
  </w:num>
  <w:num w:numId="28">
    <w:abstractNumId w:val="15"/>
  </w:num>
  <w:num w:numId="29">
    <w:abstractNumId w:val="8"/>
  </w:num>
  <w:num w:numId="30">
    <w:abstractNumId w:val="41"/>
  </w:num>
  <w:num w:numId="31">
    <w:abstractNumId w:val="45"/>
  </w:num>
  <w:num w:numId="32">
    <w:abstractNumId w:val="20"/>
  </w:num>
  <w:num w:numId="33">
    <w:abstractNumId w:val="10"/>
  </w:num>
  <w:num w:numId="34">
    <w:abstractNumId w:val="32"/>
  </w:num>
  <w:num w:numId="35">
    <w:abstractNumId w:val="13"/>
  </w:num>
  <w:num w:numId="36">
    <w:abstractNumId w:val="34"/>
  </w:num>
  <w:num w:numId="37">
    <w:abstractNumId w:val="11"/>
  </w:num>
  <w:num w:numId="38">
    <w:abstractNumId w:val="43"/>
  </w:num>
  <w:num w:numId="39">
    <w:abstractNumId w:val="35"/>
  </w:num>
  <w:num w:numId="40">
    <w:abstractNumId w:val="22"/>
  </w:num>
  <w:num w:numId="41">
    <w:abstractNumId w:val="38"/>
  </w:num>
  <w:num w:numId="42">
    <w:abstractNumId w:val="21"/>
  </w:num>
  <w:num w:numId="43">
    <w:abstractNumId w:val="16"/>
  </w:num>
  <w:num w:numId="44">
    <w:abstractNumId w:val="2"/>
  </w:num>
  <w:num w:numId="45">
    <w:abstractNumId w:val="1"/>
  </w:num>
  <w:num w:numId="46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gutterAtTop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FB"/>
    <w:rsid w:val="00001B7E"/>
    <w:rsid w:val="000104C8"/>
    <w:rsid w:val="000113C4"/>
    <w:rsid w:val="00013706"/>
    <w:rsid w:val="0001620C"/>
    <w:rsid w:val="00016951"/>
    <w:rsid w:val="00032670"/>
    <w:rsid w:val="000330DD"/>
    <w:rsid w:val="00033F5D"/>
    <w:rsid w:val="00036F45"/>
    <w:rsid w:val="0004446A"/>
    <w:rsid w:val="00045549"/>
    <w:rsid w:val="00062E2D"/>
    <w:rsid w:val="00063EE5"/>
    <w:rsid w:val="00065DA1"/>
    <w:rsid w:val="00067083"/>
    <w:rsid w:val="00075683"/>
    <w:rsid w:val="00077ED6"/>
    <w:rsid w:val="000808F2"/>
    <w:rsid w:val="00080AF5"/>
    <w:rsid w:val="00080DF6"/>
    <w:rsid w:val="00083D65"/>
    <w:rsid w:val="00084ACC"/>
    <w:rsid w:val="00095122"/>
    <w:rsid w:val="00095CD6"/>
    <w:rsid w:val="000A1752"/>
    <w:rsid w:val="000A1EDD"/>
    <w:rsid w:val="000A2B02"/>
    <w:rsid w:val="000A2E5D"/>
    <w:rsid w:val="000A4A03"/>
    <w:rsid w:val="000B3242"/>
    <w:rsid w:val="000B6DCA"/>
    <w:rsid w:val="000C6FC4"/>
    <w:rsid w:val="000C7AA1"/>
    <w:rsid w:val="000E7161"/>
    <w:rsid w:val="000F2989"/>
    <w:rsid w:val="000F6EB9"/>
    <w:rsid w:val="00100D6F"/>
    <w:rsid w:val="0011077B"/>
    <w:rsid w:val="00111965"/>
    <w:rsid w:val="00117983"/>
    <w:rsid w:val="0013031C"/>
    <w:rsid w:val="00132683"/>
    <w:rsid w:val="00132DB8"/>
    <w:rsid w:val="001353E4"/>
    <w:rsid w:val="001369C9"/>
    <w:rsid w:val="00136C01"/>
    <w:rsid w:val="0014031E"/>
    <w:rsid w:val="00144179"/>
    <w:rsid w:val="00145ADC"/>
    <w:rsid w:val="0015096D"/>
    <w:rsid w:val="00150E9C"/>
    <w:rsid w:val="00153B40"/>
    <w:rsid w:val="00162379"/>
    <w:rsid w:val="001671F7"/>
    <w:rsid w:val="00170A70"/>
    <w:rsid w:val="00172EAA"/>
    <w:rsid w:val="00173677"/>
    <w:rsid w:val="00183057"/>
    <w:rsid w:val="00183481"/>
    <w:rsid w:val="00192A82"/>
    <w:rsid w:val="00192C08"/>
    <w:rsid w:val="00192E46"/>
    <w:rsid w:val="00194FA8"/>
    <w:rsid w:val="001952FE"/>
    <w:rsid w:val="001A01E9"/>
    <w:rsid w:val="001A11E2"/>
    <w:rsid w:val="001A233C"/>
    <w:rsid w:val="001A2385"/>
    <w:rsid w:val="001A2DD4"/>
    <w:rsid w:val="001B0AA6"/>
    <w:rsid w:val="001B6056"/>
    <w:rsid w:val="001B7F39"/>
    <w:rsid w:val="001D0FB7"/>
    <w:rsid w:val="001D6728"/>
    <w:rsid w:val="001E657A"/>
    <w:rsid w:val="001F0E5B"/>
    <w:rsid w:val="001F419C"/>
    <w:rsid w:val="0020556E"/>
    <w:rsid w:val="00217432"/>
    <w:rsid w:val="0022151D"/>
    <w:rsid w:val="00232C3B"/>
    <w:rsid w:val="0024236C"/>
    <w:rsid w:val="00244289"/>
    <w:rsid w:val="00245775"/>
    <w:rsid w:val="0025363F"/>
    <w:rsid w:val="002565D2"/>
    <w:rsid w:val="00256FE1"/>
    <w:rsid w:val="00260778"/>
    <w:rsid w:val="00260864"/>
    <w:rsid w:val="00260D18"/>
    <w:rsid w:val="0026404D"/>
    <w:rsid w:val="00266813"/>
    <w:rsid w:val="002676CD"/>
    <w:rsid w:val="0027083B"/>
    <w:rsid w:val="002713B8"/>
    <w:rsid w:val="0027264F"/>
    <w:rsid w:val="0027347C"/>
    <w:rsid w:val="00276DD6"/>
    <w:rsid w:val="002845CD"/>
    <w:rsid w:val="002852BD"/>
    <w:rsid w:val="00293B33"/>
    <w:rsid w:val="00294D85"/>
    <w:rsid w:val="002979D7"/>
    <w:rsid w:val="002A6426"/>
    <w:rsid w:val="002A75CC"/>
    <w:rsid w:val="002B02AA"/>
    <w:rsid w:val="002C48DC"/>
    <w:rsid w:val="002C6E71"/>
    <w:rsid w:val="002C6F22"/>
    <w:rsid w:val="002C73C1"/>
    <w:rsid w:val="002C77F3"/>
    <w:rsid w:val="002D5328"/>
    <w:rsid w:val="002E6D0E"/>
    <w:rsid w:val="002E7FF9"/>
    <w:rsid w:val="00306585"/>
    <w:rsid w:val="00321539"/>
    <w:rsid w:val="00327505"/>
    <w:rsid w:val="00333905"/>
    <w:rsid w:val="00343926"/>
    <w:rsid w:val="0034493E"/>
    <w:rsid w:val="0034660F"/>
    <w:rsid w:val="00361FC3"/>
    <w:rsid w:val="00370A22"/>
    <w:rsid w:val="003715BA"/>
    <w:rsid w:val="0037385A"/>
    <w:rsid w:val="00375839"/>
    <w:rsid w:val="003765F2"/>
    <w:rsid w:val="00391223"/>
    <w:rsid w:val="003925DA"/>
    <w:rsid w:val="00395F65"/>
    <w:rsid w:val="003A2119"/>
    <w:rsid w:val="003A21E3"/>
    <w:rsid w:val="003B02E7"/>
    <w:rsid w:val="003B5A57"/>
    <w:rsid w:val="003C4802"/>
    <w:rsid w:val="003D4DFB"/>
    <w:rsid w:val="003F76E2"/>
    <w:rsid w:val="004010DA"/>
    <w:rsid w:val="00406E2A"/>
    <w:rsid w:val="00414AFB"/>
    <w:rsid w:val="0041537C"/>
    <w:rsid w:val="00422174"/>
    <w:rsid w:val="0042260B"/>
    <w:rsid w:val="00422FFC"/>
    <w:rsid w:val="00424E1C"/>
    <w:rsid w:val="00431966"/>
    <w:rsid w:val="004379BB"/>
    <w:rsid w:val="00445C4E"/>
    <w:rsid w:val="00446907"/>
    <w:rsid w:val="0045551F"/>
    <w:rsid w:val="004555CA"/>
    <w:rsid w:val="0046121E"/>
    <w:rsid w:val="00462D01"/>
    <w:rsid w:val="004749DC"/>
    <w:rsid w:val="00480EA7"/>
    <w:rsid w:val="00496793"/>
    <w:rsid w:val="00497F1B"/>
    <w:rsid w:val="004A5C81"/>
    <w:rsid w:val="004C07AB"/>
    <w:rsid w:val="004C318C"/>
    <w:rsid w:val="004C59B1"/>
    <w:rsid w:val="004C78A8"/>
    <w:rsid w:val="004D30B8"/>
    <w:rsid w:val="004D33A6"/>
    <w:rsid w:val="004E03DB"/>
    <w:rsid w:val="004F2851"/>
    <w:rsid w:val="004F6055"/>
    <w:rsid w:val="004F757F"/>
    <w:rsid w:val="00503F24"/>
    <w:rsid w:val="00503F3A"/>
    <w:rsid w:val="005069DA"/>
    <w:rsid w:val="00511E49"/>
    <w:rsid w:val="00532CEE"/>
    <w:rsid w:val="0055083D"/>
    <w:rsid w:val="00552587"/>
    <w:rsid w:val="00554707"/>
    <w:rsid w:val="00564EA3"/>
    <w:rsid w:val="0057566C"/>
    <w:rsid w:val="005823CF"/>
    <w:rsid w:val="005838E7"/>
    <w:rsid w:val="005940EB"/>
    <w:rsid w:val="005A025E"/>
    <w:rsid w:val="005A0D47"/>
    <w:rsid w:val="005A2FA2"/>
    <w:rsid w:val="005A391A"/>
    <w:rsid w:val="005A494F"/>
    <w:rsid w:val="005A6626"/>
    <w:rsid w:val="005B3A3E"/>
    <w:rsid w:val="005B7F8D"/>
    <w:rsid w:val="005C107D"/>
    <w:rsid w:val="005C53B2"/>
    <w:rsid w:val="005D7ED1"/>
    <w:rsid w:val="005E2CDB"/>
    <w:rsid w:val="005E3BCB"/>
    <w:rsid w:val="005E590B"/>
    <w:rsid w:val="005F1AAA"/>
    <w:rsid w:val="00600A94"/>
    <w:rsid w:val="00601001"/>
    <w:rsid w:val="006100A0"/>
    <w:rsid w:val="00610AF4"/>
    <w:rsid w:val="006204DE"/>
    <w:rsid w:val="00620947"/>
    <w:rsid w:val="00624D7B"/>
    <w:rsid w:val="006335A7"/>
    <w:rsid w:val="00634882"/>
    <w:rsid w:val="00640972"/>
    <w:rsid w:val="00642BEB"/>
    <w:rsid w:val="00661727"/>
    <w:rsid w:val="0066558C"/>
    <w:rsid w:val="006659D9"/>
    <w:rsid w:val="006840DB"/>
    <w:rsid w:val="00684A4D"/>
    <w:rsid w:val="006854C7"/>
    <w:rsid w:val="00687432"/>
    <w:rsid w:val="0069091E"/>
    <w:rsid w:val="006A28B9"/>
    <w:rsid w:val="006A4E91"/>
    <w:rsid w:val="006B6FC6"/>
    <w:rsid w:val="006B754C"/>
    <w:rsid w:val="006C2786"/>
    <w:rsid w:val="006C306F"/>
    <w:rsid w:val="006C71EC"/>
    <w:rsid w:val="006D0C51"/>
    <w:rsid w:val="006D20A5"/>
    <w:rsid w:val="006D4EC9"/>
    <w:rsid w:val="006E49CE"/>
    <w:rsid w:val="006F0B91"/>
    <w:rsid w:val="006F4725"/>
    <w:rsid w:val="00701087"/>
    <w:rsid w:val="0070138D"/>
    <w:rsid w:val="007142D6"/>
    <w:rsid w:val="007174A3"/>
    <w:rsid w:val="00721DA7"/>
    <w:rsid w:val="00724B4B"/>
    <w:rsid w:val="00725179"/>
    <w:rsid w:val="00727FA0"/>
    <w:rsid w:val="00730D32"/>
    <w:rsid w:val="0073127F"/>
    <w:rsid w:val="00733D82"/>
    <w:rsid w:val="00737749"/>
    <w:rsid w:val="00740C72"/>
    <w:rsid w:val="00743225"/>
    <w:rsid w:val="00743B6B"/>
    <w:rsid w:val="0074559F"/>
    <w:rsid w:val="007475D5"/>
    <w:rsid w:val="00752444"/>
    <w:rsid w:val="00752809"/>
    <w:rsid w:val="00754FB6"/>
    <w:rsid w:val="00760711"/>
    <w:rsid w:val="00762350"/>
    <w:rsid w:val="0076441D"/>
    <w:rsid w:val="00764BDE"/>
    <w:rsid w:val="00775761"/>
    <w:rsid w:val="00776F4E"/>
    <w:rsid w:val="0078105C"/>
    <w:rsid w:val="00783464"/>
    <w:rsid w:val="00784D2A"/>
    <w:rsid w:val="00786FEF"/>
    <w:rsid w:val="00790B4D"/>
    <w:rsid w:val="00797565"/>
    <w:rsid w:val="007A2A35"/>
    <w:rsid w:val="007B3B5E"/>
    <w:rsid w:val="007B400D"/>
    <w:rsid w:val="007C4463"/>
    <w:rsid w:val="007C497F"/>
    <w:rsid w:val="007C53E4"/>
    <w:rsid w:val="007D1757"/>
    <w:rsid w:val="007D240C"/>
    <w:rsid w:val="007D45EB"/>
    <w:rsid w:val="007E4ACB"/>
    <w:rsid w:val="007E7EE6"/>
    <w:rsid w:val="007F1591"/>
    <w:rsid w:val="007F3CCF"/>
    <w:rsid w:val="007F3E3A"/>
    <w:rsid w:val="00803128"/>
    <w:rsid w:val="00810ACB"/>
    <w:rsid w:val="008143EB"/>
    <w:rsid w:val="00815BBD"/>
    <w:rsid w:val="008168E4"/>
    <w:rsid w:val="0082624D"/>
    <w:rsid w:val="008405B8"/>
    <w:rsid w:val="00843ECC"/>
    <w:rsid w:val="00852148"/>
    <w:rsid w:val="00857472"/>
    <w:rsid w:val="0087403C"/>
    <w:rsid w:val="00880520"/>
    <w:rsid w:val="00881CFD"/>
    <w:rsid w:val="0089126F"/>
    <w:rsid w:val="0089492A"/>
    <w:rsid w:val="00894ED3"/>
    <w:rsid w:val="008A0609"/>
    <w:rsid w:val="008A2C37"/>
    <w:rsid w:val="008A40F0"/>
    <w:rsid w:val="008A4F07"/>
    <w:rsid w:val="008B2991"/>
    <w:rsid w:val="008B75BA"/>
    <w:rsid w:val="008C10B4"/>
    <w:rsid w:val="008D06E7"/>
    <w:rsid w:val="008D2F6D"/>
    <w:rsid w:val="008D60EF"/>
    <w:rsid w:val="008D7222"/>
    <w:rsid w:val="008E6AD0"/>
    <w:rsid w:val="008E7C59"/>
    <w:rsid w:val="008F7657"/>
    <w:rsid w:val="008F7DAA"/>
    <w:rsid w:val="00900E3B"/>
    <w:rsid w:val="00905548"/>
    <w:rsid w:val="00910D24"/>
    <w:rsid w:val="00920C25"/>
    <w:rsid w:val="00930511"/>
    <w:rsid w:val="009355A4"/>
    <w:rsid w:val="00940404"/>
    <w:rsid w:val="00943C0A"/>
    <w:rsid w:val="00951F7B"/>
    <w:rsid w:val="0095288F"/>
    <w:rsid w:val="00956786"/>
    <w:rsid w:val="009646F6"/>
    <w:rsid w:val="00967550"/>
    <w:rsid w:val="0096773D"/>
    <w:rsid w:val="00967A3E"/>
    <w:rsid w:val="00970F4D"/>
    <w:rsid w:val="009770BE"/>
    <w:rsid w:val="009806BD"/>
    <w:rsid w:val="00987EBA"/>
    <w:rsid w:val="009B05AF"/>
    <w:rsid w:val="009B2C48"/>
    <w:rsid w:val="009B7736"/>
    <w:rsid w:val="009C5F8A"/>
    <w:rsid w:val="009C61FB"/>
    <w:rsid w:val="009C74F3"/>
    <w:rsid w:val="009D13BB"/>
    <w:rsid w:val="009D3D2C"/>
    <w:rsid w:val="009D4BA4"/>
    <w:rsid w:val="009E0595"/>
    <w:rsid w:val="009E0C42"/>
    <w:rsid w:val="009E0C5E"/>
    <w:rsid w:val="009E68EA"/>
    <w:rsid w:val="009F0024"/>
    <w:rsid w:val="009F0D45"/>
    <w:rsid w:val="009F4F32"/>
    <w:rsid w:val="00A04085"/>
    <w:rsid w:val="00A05012"/>
    <w:rsid w:val="00A07AF0"/>
    <w:rsid w:val="00A114BB"/>
    <w:rsid w:val="00A11844"/>
    <w:rsid w:val="00A13367"/>
    <w:rsid w:val="00A17ED7"/>
    <w:rsid w:val="00A2147C"/>
    <w:rsid w:val="00A23C14"/>
    <w:rsid w:val="00A268A1"/>
    <w:rsid w:val="00A27AA7"/>
    <w:rsid w:val="00A34202"/>
    <w:rsid w:val="00A3521E"/>
    <w:rsid w:val="00A423ED"/>
    <w:rsid w:val="00A433C5"/>
    <w:rsid w:val="00A43879"/>
    <w:rsid w:val="00A523B1"/>
    <w:rsid w:val="00A526C0"/>
    <w:rsid w:val="00A71FEF"/>
    <w:rsid w:val="00A80BCE"/>
    <w:rsid w:val="00A84BD8"/>
    <w:rsid w:val="00A90ED2"/>
    <w:rsid w:val="00A93112"/>
    <w:rsid w:val="00A93876"/>
    <w:rsid w:val="00AA56CB"/>
    <w:rsid w:val="00AA60A2"/>
    <w:rsid w:val="00AB0F4E"/>
    <w:rsid w:val="00AB4F02"/>
    <w:rsid w:val="00AC3BFB"/>
    <w:rsid w:val="00AC5449"/>
    <w:rsid w:val="00AC5D31"/>
    <w:rsid w:val="00AD0B36"/>
    <w:rsid w:val="00AD1335"/>
    <w:rsid w:val="00AD250D"/>
    <w:rsid w:val="00AE1EAA"/>
    <w:rsid w:val="00AE3187"/>
    <w:rsid w:val="00AE453A"/>
    <w:rsid w:val="00AE5B37"/>
    <w:rsid w:val="00AE784B"/>
    <w:rsid w:val="00AF4552"/>
    <w:rsid w:val="00AF5AFA"/>
    <w:rsid w:val="00B01438"/>
    <w:rsid w:val="00B03F80"/>
    <w:rsid w:val="00B05BFF"/>
    <w:rsid w:val="00B07AA0"/>
    <w:rsid w:val="00B25A6A"/>
    <w:rsid w:val="00B30EE9"/>
    <w:rsid w:val="00B321BC"/>
    <w:rsid w:val="00B33D9F"/>
    <w:rsid w:val="00B44C66"/>
    <w:rsid w:val="00B538B6"/>
    <w:rsid w:val="00B61A0D"/>
    <w:rsid w:val="00B63094"/>
    <w:rsid w:val="00B6369C"/>
    <w:rsid w:val="00B772DE"/>
    <w:rsid w:val="00B77A13"/>
    <w:rsid w:val="00B82631"/>
    <w:rsid w:val="00B8308A"/>
    <w:rsid w:val="00B833F9"/>
    <w:rsid w:val="00B908E6"/>
    <w:rsid w:val="00BA0E9E"/>
    <w:rsid w:val="00BA5641"/>
    <w:rsid w:val="00BA7D79"/>
    <w:rsid w:val="00BB2575"/>
    <w:rsid w:val="00BB2888"/>
    <w:rsid w:val="00BB724A"/>
    <w:rsid w:val="00BB7C7E"/>
    <w:rsid w:val="00BC2C96"/>
    <w:rsid w:val="00BC3CB7"/>
    <w:rsid w:val="00BC6571"/>
    <w:rsid w:val="00BD22F4"/>
    <w:rsid w:val="00BD3AEE"/>
    <w:rsid w:val="00BD79A7"/>
    <w:rsid w:val="00BE68EB"/>
    <w:rsid w:val="00BE7280"/>
    <w:rsid w:val="00BF0F0B"/>
    <w:rsid w:val="00BF1092"/>
    <w:rsid w:val="00BF5C95"/>
    <w:rsid w:val="00BF6066"/>
    <w:rsid w:val="00C02426"/>
    <w:rsid w:val="00C05201"/>
    <w:rsid w:val="00C0596D"/>
    <w:rsid w:val="00C11DB5"/>
    <w:rsid w:val="00C24C60"/>
    <w:rsid w:val="00C24D50"/>
    <w:rsid w:val="00C32A0C"/>
    <w:rsid w:val="00C34074"/>
    <w:rsid w:val="00C3467E"/>
    <w:rsid w:val="00C3661B"/>
    <w:rsid w:val="00C442E4"/>
    <w:rsid w:val="00C4553A"/>
    <w:rsid w:val="00C45FBA"/>
    <w:rsid w:val="00C46441"/>
    <w:rsid w:val="00C46EBD"/>
    <w:rsid w:val="00C519A0"/>
    <w:rsid w:val="00C561DF"/>
    <w:rsid w:val="00C64DE3"/>
    <w:rsid w:val="00C66D97"/>
    <w:rsid w:val="00C707DB"/>
    <w:rsid w:val="00C721BD"/>
    <w:rsid w:val="00C72B1A"/>
    <w:rsid w:val="00C73B77"/>
    <w:rsid w:val="00C812AC"/>
    <w:rsid w:val="00C83AF7"/>
    <w:rsid w:val="00C9511E"/>
    <w:rsid w:val="00CA0EC7"/>
    <w:rsid w:val="00CA2314"/>
    <w:rsid w:val="00CA3393"/>
    <w:rsid w:val="00CB5010"/>
    <w:rsid w:val="00CB711A"/>
    <w:rsid w:val="00CC2351"/>
    <w:rsid w:val="00CC5FB2"/>
    <w:rsid w:val="00CD1EEE"/>
    <w:rsid w:val="00CD5BA3"/>
    <w:rsid w:val="00CD6921"/>
    <w:rsid w:val="00CE0801"/>
    <w:rsid w:val="00CE16F5"/>
    <w:rsid w:val="00CE4F5E"/>
    <w:rsid w:val="00CE70BC"/>
    <w:rsid w:val="00CF076B"/>
    <w:rsid w:val="00CF7ADF"/>
    <w:rsid w:val="00D02387"/>
    <w:rsid w:val="00D0301D"/>
    <w:rsid w:val="00D171BF"/>
    <w:rsid w:val="00D2178E"/>
    <w:rsid w:val="00D21BA8"/>
    <w:rsid w:val="00D25780"/>
    <w:rsid w:val="00D25B82"/>
    <w:rsid w:val="00D32646"/>
    <w:rsid w:val="00D33EB3"/>
    <w:rsid w:val="00D449A4"/>
    <w:rsid w:val="00D46377"/>
    <w:rsid w:val="00D5286D"/>
    <w:rsid w:val="00D64884"/>
    <w:rsid w:val="00D674BE"/>
    <w:rsid w:val="00D70061"/>
    <w:rsid w:val="00D727AC"/>
    <w:rsid w:val="00D80CA7"/>
    <w:rsid w:val="00D829C5"/>
    <w:rsid w:val="00D83FA6"/>
    <w:rsid w:val="00D85C93"/>
    <w:rsid w:val="00D87283"/>
    <w:rsid w:val="00D878F0"/>
    <w:rsid w:val="00D87E8E"/>
    <w:rsid w:val="00D931DB"/>
    <w:rsid w:val="00D94DFD"/>
    <w:rsid w:val="00D96246"/>
    <w:rsid w:val="00D96871"/>
    <w:rsid w:val="00D97106"/>
    <w:rsid w:val="00D97E01"/>
    <w:rsid w:val="00DA375D"/>
    <w:rsid w:val="00DA3A59"/>
    <w:rsid w:val="00DA407B"/>
    <w:rsid w:val="00DA71FB"/>
    <w:rsid w:val="00DB1489"/>
    <w:rsid w:val="00DB30AD"/>
    <w:rsid w:val="00DB5F3F"/>
    <w:rsid w:val="00DC13FA"/>
    <w:rsid w:val="00DC27E6"/>
    <w:rsid w:val="00DC599C"/>
    <w:rsid w:val="00DC6918"/>
    <w:rsid w:val="00DD49B1"/>
    <w:rsid w:val="00DD7DC1"/>
    <w:rsid w:val="00DE0846"/>
    <w:rsid w:val="00DE268C"/>
    <w:rsid w:val="00DE2B68"/>
    <w:rsid w:val="00DF71C3"/>
    <w:rsid w:val="00DF7FE2"/>
    <w:rsid w:val="00E03B15"/>
    <w:rsid w:val="00E03E34"/>
    <w:rsid w:val="00E040A2"/>
    <w:rsid w:val="00E06FC6"/>
    <w:rsid w:val="00E10213"/>
    <w:rsid w:val="00E10C55"/>
    <w:rsid w:val="00E13659"/>
    <w:rsid w:val="00E13AA6"/>
    <w:rsid w:val="00E14ECC"/>
    <w:rsid w:val="00E15B43"/>
    <w:rsid w:val="00E173E2"/>
    <w:rsid w:val="00E25AA6"/>
    <w:rsid w:val="00E263D6"/>
    <w:rsid w:val="00E27F93"/>
    <w:rsid w:val="00E309DA"/>
    <w:rsid w:val="00E33DFB"/>
    <w:rsid w:val="00E348F7"/>
    <w:rsid w:val="00E4028E"/>
    <w:rsid w:val="00E41F4B"/>
    <w:rsid w:val="00E4646C"/>
    <w:rsid w:val="00E529FD"/>
    <w:rsid w:val="00E53F5E"/>
    <w:rsid w:val="00E54BC6"/>
    <w:rsid w:val="00E56778"/>
    <w:rsid w:val="00E65FAF"/>
    <w:rsid w:val="00E67ABA"/>
    <w:rsid w:val="00E71D4F"/>
    <w:rsid w:val="00E77696"/>
    <w:rsid w:val="00E81E76"/>
    <w:rsid w:val="00E843AB"/>
    <w:rsid w:val="00E86839"/>
    <w:rsid w:val="00E96CE2"/>
    <w:rsid w:val="00EA4BD5"/>
    <w:rsid w:val="00EA69A9"/>
    <w:rsid w:val="00EB1A93"/>
    <w:rsid w:val="00EC3AAC"/>
    <w:rsid w:val="00ED0443"/>
    <w:rsid w:val="00ED0C6C"/>
    <w:rsid w:val="00EE0C20"/>
    <w:rsid w:val="00EE0E1F"/>
    <w:rsid w:val="00EE12DF"/>
    <w:rsid w:val="00EF0F04"/>
    <w:rsid w:val="00EF42C5"/>
    <w:rsid w:val="00EF6C90"/>
    <w:rsid w:val="00F07182"/>
    <w:rsid w:val="00F10D07"/>
    <w:rsid w:val="00F135D3"/>
    <w:rsid w:val="00F13D4E"/>
    <w:rsid w:val="00F14331"/>
    <w:rsid w:val="00F21FAC"/>
    <w:rsid w:val="00F2537E"/>
    <w:rsid w:val="00F25551"/>
    <w:rsid w:val="00F43033"/>
    <w:rsid w:val="00F43222"/>
    <w:rsid w:val="00F43E37"/>
    <w:rsid w:val="00F45579"/>
    <w:rsid w:val="00F5059C"/>
    <w:rsid w:val="00F8030D"/>
    <w:rsid w:val="00F818C3"/>
    <w:rsid w:val="00F87F3B"/>
    <w:rsid w:val="00FB189D"/>
    <w:rsid w:val="00FB45D9"/>
    <w:rsid w:val="00FC129E"/>
    <w:rsid w:val="00FC349C"/>
    <w:rsid w:val="00FC3858"/>
    <w:rsid w:val="00FC3ABB"/>
    <w:rsid w:val="00FD0418"/>
    <w:rsid w:val="00FD2A4A"/>
    <w:rsid w:val="00FD4695"/>
    <w:rsid w:val="00FD4E62"/>
    <w:rsid w:val="00FD627D"/>
    <w:rsid w:val="00FE0AD0"/>
    <w:rsid w:val="00FE3B64"/>
    <w:rsid w:val="00FE40A4"/>
    <w:rsid w:val="00FE5E6F"/>
    <w:rsid w:val="00FE725C"/>
    <w:rsid w:val="00FF3084"/>
    <w:rsid w:val="00FF4DC4"/>
    <w:rsid w:val="00FF5A20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92C37"/>
  <w15:docId w15:val="{B8F86CE6-3596-4B85-8075-79442CB4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8B75BA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a3">
    <w:name w:val="法規第一款"/>
    <w:basedOn w:val="a"/>
    <w:rsid w:val="008B75BA"/>
    <w:pPr>
      <w:tabs>
        <w:tab w:val="left" w:pos="480"/>
        <w:tab w:val="left" w:pos="1440"/>
      </w:tabs>
      <w:snapToGrid w:val="0"/>
      <w:spacing w:line="400" w:lineRule="exact"/>
      <w:ind w:left="1741" w:hanging="567"/>
      <w:jc w:val="both"/>
      <w:textDirection w:val="lrTbV"/>
    </w:pPr>
    <w:rPr>
      <w:rFonts w:eastAsia="標楷體"/>
      <w:sz w:val="28"/>
      <w:szCs w:val="20"/>
    </w:rPr>
  </w:style>
  <w:style w:type="paragraph" w:customStyle="1" w:styleId="a4">
    <w:name w:val="公文(主旨)"/>
    <w:basedOn w:val="a"/>
    <w:next w:val="a"/>
    <w:rsid w:val="008B75BA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a5">
    <w:name w:val="法規第一項(一)"/>
    <w:basedOn w:val="a3"/>
    <w:rsid w:val="008B75BA"/>
    <w:pPr>
      <w:ind w:left="2220" w:hanging="480"/>
    </w:pPr>
  </w:style>
  <w:style w:type="paragraph" w:styleId="a6">
    <w:name w:val="header"/>
    <w:basedOn w:val="a"/>
    <w:link w:val="a7"/>
    <w:uiPriority w:val="99"/>
    <w:rsid w:val="008B75BA"/>
    <w:pPr>
      <w:tabs>
        <w:tab w:val="center" w:pos="4153"/>
        <w:tab w:val="right" w:pos="8306"/>
      </w:tabs>
      <w:snapToGrid w:val="0"/>
      <w:spacing w:line="360" w:lineRule="exact"/>
      <w:ind w:left="113" w:right="113"/>
      <w:jc w:val="both"/>
    </w:pPr>
    <w:rPr>
      <w:rFonts w:ascii="標楷體" w:eastAsia="標楷體"/>
      <w:sz w:val="20"/>
      <w:szCs w:val="20"/>
    </w:rPr>
  </w:style>
  <w:style w:type="paragraph" w:styleId="a8">
    <w:name w:val="Body Text"/>
    <w:basedOn w:val="a"/>
    <w:rsid w:val="008B75BA"/>
    <w:pPr>
      <w:spacing w:line="280" w:lineRule="exact"/>
      <w:ind w:right="57"/>
      <w:jc w:val="both"/>
    </w:pPr>
    <w:rPr>
      <w:rFonts w:ascii="標楷體" w:eastAsia="標楷體" w:hAnsi="標楷體"/>
      <w:sz w:val="20"/>
      <w:szCs w:val="20"/>
    </w:rPr>
  </w:style>
  <w:style w:type="paragraph" w:customStyle="1" w:styleId="1-1">
    <w:name w:val="樣式1-1"/>
    <w:basedOn w:val="a"/>
    <w:rsid w:val="008B75BA"/>
    <w:pPr>
      <w:tabs>
        <w:tab w:val="left" w:pos="8505"/>
      </w:tabs>
      <w:spacing w:before="240" w:line="360" w:lineRule="exact"/>
      <w:ind w:left="113" w:right="113"/>
      <w:jc w:val="both"/>
    </w:pPr>
    <w:rPr>
      <w:rFonts w:ascii="標楷體" w:eastAsia="標楷體"/>
      <w:sz w:val="28"/>
      <w:szCs w:val="20"/>
    </w:rPr>
  </w:style>
  <w:style w:type="character" w:styleId="a9">
    <w:name w:val="FollowedHyperlink"/>
    <w:rsid w:val="008B75BA"/>
    <w:rPr>
      <w:color w:val="800080"/>
      <w:u w:val="single"/>
    </w:rPr>
  </w:style>
  <w:style w:type="paragraph" w:styleId="aa">
    <w:name w:val="Date"/>
    <w:basedOn w:val="a"/>
    <w:next w:val="a"/>
    <w:rsid w:val="008B75BA"/>
    <w:pPr>
      <w:jc w:val="right"/>
    </w:pPr>
  </w:style>
  <w:style w:type="character" w:styleId="ab">
    <w:name w:val="Hyperlink"/>
    <w:rsid w:val="008B75BA"/>
    <w:rPr>
      <w:color w:val="0000FF"/>
      <w:u w:val="single"/>
    </w:rPr>
  </w:style>
  <w:style w:type="paragraph" w:styleId="ac">
    <w:name w:val="Plain Text"/>
    <w:basedOn w:val="a"/>
    <w:rsid w:val="008B75BA"/>
    <w:rPr>
      <w:rFonts w:ascii="細明體" w:eastAsia="細明體" w:hAnsi="Courier New"/>
      <w:szCs w:val="20"/>
    </w:rPr>
  </w:style>
  <w:style w:type="paragraph" w:styleId="ad">
    <w:name w:val="Balloon Text"/>
    <w:basedOn w:val="a"/>
    <w:semiHidden/>
    <w:rsid w:val="008B75BA"/>
    <w:rPr>
      <w:rFonts w:ascii="Arial" w:hAnsi="Arial"/>
      <w:sz w:val="18"/>
      <w:szCs w:val="18"/>
    </w:rPr>
  </w:style>
  <w:style w:type="paragraph" w:styleId="ae">
    <w:name w:val="Body Text Indent"/>
    <w:basedOn w:val="a"/>
    <w:rsid w:val="008B75BA"/>
    <w:pPr>
      <w:snapToGrid w:val="0"/>
      <w:spacing w:line="400" w:lineRule="exact"/>
      <w:ind w:leftChars="150" w:left="360"/>
    </w:pPr>
    <w:rPr>
      <w:rFonts w:ascii="標楷體" w:eastAsia="標楷體" w:hAnsi="標楷體"/>
      <w:sz w:val="28"/>
      <w:szCs w:val="28"/>
    </w:rPr>
  </w:style>
  <w:style w:type="paragraph" w:styleId="af">
    <w:name w:val="footer"/>
    <w:basedOn w:val="a"/>
    <w:rsid w:val="008B7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rsid w:val="007174A3"/>
  </w:style>
  <w:style w:type="paragraph" w:styleId="HTML">
    <w:name w:val="HTML Preformatted"/>
    <w:basedOn w:val="a"/>
    <w:rsid w:val="008B75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2">
    <w:name w:val="Body Text Indent 2"/>
    <w:basedOn w:val="a"/>
    <w:rsid w:val="008B75BA"/>
    <w:pPr>
      <w:spacing w:after="120" w:line="480" w:lineRule="auto"/>
      <w:ind w:left="480"/>
    </w:pPr>
  </w:style>
  <w:style w:type="paragraph" w:styleId="3">
    <w:name w:val="Body Text Indent 3"/>
    <w:basedOn w:val="a"/>
    <w:rsid w:val="008B75BA"/>
    <w:pPr>
      <w:spacing w:after="120"/>
      <w:ind w:left="480"/>
    </w:pPr>
    <w:rPr>
      <w:sz w:val="16"/>
      <w:szCs w:val="16"/>
    </w:rPr>
  </w:style>
  <w:style w:type="paragraph" w:customStyle="1" w:styleId="af1">
    <w:name w:val="副本"/>
    <w:basedOn w:val="3"/>
    <w:rsid w:val="008B75BA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f2">
    <w:name w:val="說明"/>
    <w:basedOn w:val="ae"/>
    <w:rsid w:val="008B75BA"/>
    <w:pPr>
      <w:snapToGrid/>
      <w:spacing w:line="640" w:lineRule="exact"/>
      <w:ind w:leftChars="0" w:left="952" w:hanging="952"/>
    </w:pPr>
    <w:rPr>
      <w:rFonts w:ascii="Arial" w:hAnsi="Arial"/>
      <w:sz w:val="32"/>
      <w:szCs w:val="24"/>
    </w:rPr>
  </w:style>
  <w:style w:type="paragraph" w:styleId="af3">
    <w:name w:val="List Paragraph"/>
    <w:basedOn w:val="a"/>
    <w:link w:val="af4"/>
    <w:uiPriority w:val="34"/>
    <w:qFormat/>
    <w:rsid w:val="0055083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55083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5">
    <w:name w:val="footnote text"/>
    <w:basedOn w:val="a"/>
    <w:link w:val="af6"/>
    <w:semiHidden/>
    <w:unhideWhenUsed/>
    <w:rsid w:val="00642BEB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semiHidden/>
    <w:rsid w:val="00642BEB"/>
    <w:rPr>
      <w:kern w:val="2"/>
    </w:rPr>
  </w:style>
  <w:style w:type="character" w:styleId="af7">
    <w:name w:val="footnote reference"/>
    <w:basedOn w:val="a0"/>
    <w:semiHidden/>
    <w:unhideWhenUsed/>
    <w:rsid w:val="00642BEB"/>
    <w:rPr>
      <w:vertAlign w:val="superscript"/>
    </w:rPr>
  </w:style>
  <w:style w:type="paragraph" w:styleId="af8">
    <w:name w:val="endnote text"/>
    <w:basedOn w:val="a"/>
    <w:link w:val="af9"/>
    <w:semiHidden/>
    <w:unhideWhenUsed/>
    <w:rsid w:val="00554707"/>
    <w:pPr>
      <w:snapToGrid w:val="0"/>
    </w:pPr>
  </w:style>
  <w:style w:type="character" w:customStyle="1" w:styleId="af9">
    <w:name w:val="章節附註文字 字元"/>
    <w:basedOn w:val="a0"/>
    <w:link w:val="af8"/>
    <w:semiHidden/>
    <w:rsid w:val="00554707"/>
    <w:rPr>
      <w:kern w:val="2"/>
      <w:sz w:val="24"/>
      <w:szCs w:val="24"/>
    </w:rPr>
  </w:style>
  <w:style w:type="character" w:styleId="afa">
    <w:name w:val="endnote reference"/>
    <w:basedOn w:val="a0"/>
    <w:semiHidden/>
    <w:unhideWhenUsed/>
    <w:rsid w:val="00554707"/>
    <w:rPr>
      <w:vertAlign w:val="superscript"/>
    </w:rPr>
  </w:style>
  <w:style w:type="character" w:customStyle="1" w:styleId="a7">
    <w:name w:val="頁首 字元"/>
    <w:link w:val="a6"/>
    <w:uiPriority w:val="99"/>
    <w:rsid w:val="00FF5A20"/>
    <w:rPr>
      <w:rFonts w:ascii="標楷體" w:eastAsia="標楷體"/>
      <w:kern w:val="2"/>
    </w:rPr>
  </w:style>
  <w:style w:type="paragraph" w:styleId="afb">
    <w:name w:val="annotation text"/>
    <w:basedOn w:val="a"/>
    <w:link w:val="afc"/>
    <w:rsid w:val="00BE7280"/>
  </w:style>
  <w:style w:type="character" w:customStyle="1" w:styleId="afc">
    <w:name w:val="註解文字 字元"/>
    <w:basedOn w:val="a0"/>
    <w:link w:val="afb"/>
    <w:rsid w:val="00BE7280"/>
    <w:rPr>
      <w:kern w:val="2"/>
      <w:sz w:val="24"/>
      <w:szCs w:val="24"/>
    </w:rPr>
  </w:style>
  <w:style w:type="table" w:styleId="afd">
    <w:name w:val="Table Grid"/>
    <w:basedOn w:val="a1"/>
    <w:uiPriority w:val="39"/>
    <w:rsid w:val="00BE728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basedOn w:val="a0"/>
    <w:semiHidden/>
    <w:unhideWhenUsed/>
    <w:rsid w:val="00067083"/>
    <w:rPr>
      <w:sz w:val="18"/>
      <w:szCs w:val="18"/>
    </w:rPr>
  </w:style>
  <w:style w:type="paragraph" w:styleId="aff">
    <w:name w:val="annotation subject"/>
    <w:basedOn w:val="afb"/>
    <w:next w:val="afb"/>
    <w:link w:val="aff0"/>
    <w:semiHidden/>
    <w:unhideWhenUsed/>
    <w:rsid w:val="00067083"/>
    <w:rPr>
      <w:b/>
      <w:bCs/>
    </w:rPr>
  </w:style>
  <w:style w:type="character" w:customStyle="1" w:styleId="aff0">
    <w:name w:val="註解主旨 字元"/>
    <w:basedOn w:val="afc"/>
    <w:link w:val="aff"/>
    <w:semiHidden/>
    <w:rsid w:val="00067083"/>
    <w:rPr>
      <w:b/>
      <w:bCs/>
      <w:kern w:val="2"/>
      <w:sz w:val="24"/>
      <w:szCs w:val="24"/>
    </w:rPr>
  </w:style>
  <w:style w:type="character" w:customStyle="1" w:styleId="af4">
    <w:name w:val="清單段落 字元"/>
    <w:link w:val="af3"/>
    <w:uiPriority w:val="34"/>
    <w:rsid w:val="00FE5E6F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3498-D0FB-4F62-A2EA-D4A80D1C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370</Words>
  <Characters>2115</Characters>
  <Application>Microsoft Office Word</Application>
  <DocSecurity>0</DocSecurity>
  <Lines>17</Lines>
  <Paragraphs>4</Paragraphs>
  <ScaleCrop>false</ScaleCrop>
  <Company>CMT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高雄醫學大學總務處採購管理標準作業程序書</dc:title>
  <dc:subject/>
  <dc:creator>user</dc:creator>
  <cp:keywords/>
  <dc:description/>
  <cp:lastModifiedBy>Kung Claire</cp:lastModifiedBy>
  <cp:revision>3</cp:revision>
  <cp:lastPrinted>2021-11-24T07:48:00Z</cp:lastPrinted>
  <dcterms:created xsi:type="dcterms:W3CDTF">2022-06-07T06:42:00Z</dcterms:created>
  <dcterms:modified xsi:type="dcterms:W3CDTF">2022-06-07T06:44:00Z</dcterms:modified>
</cp:coreProperties>
</file>